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2" w:rsidRPr="00DF686A" w:rsidRDefault="003978B2" w:rsidP="008335FB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p w:rsidR="003978B2" w:rsidRPr="00DF686A" w:rsidRDefault="003978B2" w:rsidP="00DF686A">
      <w:pPr>
        <w:shd w:val="clear" w:color="auto" w:fill="FFFFFF"/>
        <w:ind w:left="5323"/>
        <w:jc w:val="both"/>
        <w:rPr>
          <w:sz w:val="22"/>
          <w:szCs w:val="22"/>
        </w:rPr>
      </w:pPr>
    </w:p>
    <w:p w:rsidR="003978B2" w:rsidRPr="00DF686A" w:rsidRDefault="00B738FA" w:rsidP="00DF686A">
      <w:pPr>
        <w:shd w:val="clear" w:color="auto" w:fill="FFFFFF"/>
        <w:tabs>
          <w:tab w:val="left" w:pos="8789"/>
        </w:tabs>
        <w:ind w:left="284" w:firstLine="4022"/>
        <w:jc w:val="both"/>
        <w:rPr>
          <w:b/>
          <w:bCs/>
          <w:spacing w:val="1"/>
          <w:sz w:val="22"/>
          <w:szCs w:val="22"/>
        </w:rPr>
      </w:pPr>
      <w:r w:rsidRPr="00DF686A">
        <w:rPr>
          <w:b/>
          <w:bCs/>
          <w:spacing w:val="1"/>
          <w:sz w:val="22"/>
          <w:szCs w:val="22"/>
        </w:rPr>
        <w:t xml:space="preserve">                              </w:t>
      </w:r>
      <w:r w:rsidR="003978B2" w:rsidRPr="00DF686A">
        <w:rPr>
          <w:b/>
          <w:bCs/>
          <w:spacing w:val="1"/>
          <w:sz w:val="22"/>
          <w:szCs w:val="22"/>
        </w:rPr>
        <w:tab/>
      </w:r>
    </w:p>
    <w:p w:rsidR="00B738FA" w:rsidRPr="00DF686A" w:rsidRDefault="003978B2" w:rsidP="00DF686A">
      <w:pPr>
        <w:shd w:val="clear" w:color="auto" w:fill="FFFFFF"/>
        <w:tabs>
          <w:tab w:val="left" w:pos="8789"/>
        </w:tabs>
        <w:ind w:left="7200"/>
        <w:jc w:val="both"/>
        <w:rPr>
          <w:b/>
          <w:bCs/>
          <w:sz w:val="22"/>
          <w:szCs w:val="22"/>
        </w:rPr>
      </w:pPr>
      <w:r w:rsidRPr="00DF686A">
        <w:rPr>
          <w:b/>
          <w:bCs/>
          <w:spacing w:val="1"/>
          <w:sz w:val="22"/>
          <w:szCs w:val="22"/>
        </w:rPr>
        <w:t xml:space="preserve">    </w:t>
      </w:r>
      <w:r w:rsidR="00B738FA" w:rsidRPr="00DF686A">
        <w:rPr>
          <w:b/>
          <w:bCs/>
          <w:spacing w:val="1"/>
          <w:sz w:val="22"/>
          <w:szCs w:val="22"/>
        </w:rPr>
        <w:t>Załącznik nr 1</w:t>
      </w:r>
      <w:r w:rsidR="00B738FA" w:rsidRPr="00DF686A">
        <w:rPr>
          <w:b/>
          <w:bCs/>
          <w:sz w:val="22"/>
          <w:szCs w:val="22"/>
        </w:rPr>
        <w:tab/>
      </w:r>
    </w:p>
    <w:p w:rsidR="003230A2" w:rsidRPr="00DF686A" w:rsidRDefault="003230A2" w:rsidP="00DF686A">
      <w:pPr>
        <w:shd w:val="clear" w:color="auto" w:fill="FFFFFF"/>
        <w:tabs>
          <w:tab w:val="left" w:pos="8789"/>
        </w:tabs>
        <w:ind w:left="284"/>
        <w:jc w:val="both"/>
        <w:rPr>
          <w:b/>
          <w:sz w:val="22"/>
          <w:szCs w:val="22"/>
        </w:rPr>
      </w:pPr>
    </w:p>
    <w:p w:rsidR="00B738FA" w:rsidRPr="00DF686A" w:rsidRDefault="00E14558" w:rsidP="00B65E8D">
      <w:pPr>
        <w:shd w:val="clear" w:color="auto" w:fill="FFFFFF"/>
        <w:tabs>
          <w:tab w:val="left" w:pos="8789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738FA" w:rsidRPr="00DF686A">
        <w:rPr>
          <w:b/>
          <w:sz w:val="22"/>
          <w:szCs w:val="22"/>
        </w:rPr>
        <w:t>Zasady ewidencji oraz obiegu dokumentów dotyczące środków trwałych</w:t>
      </w:r>
    </w:p>
    <w:p w:rsidR="00B738FA" w:rsidRPr="00DF686A" w:rsidRDefault="00B738FA" w:rsidP="00DF686A">
      <w:pPr>
        <w:shd w:val="clear" w:color="auto" w:fill="FFFFFF"/>
        <w:ind w:left="4291"/>
        <w:jc w:val="both"/>
        <w:rPr>
          <w:spacing w:val="-4"/>
          <w:sz w:val="22"/>
          <w:szCs w:val="22"/>
        </w:rPr>
      </w:pPr>
    </w:p>
    <w:p w:rsidR="00B738FA" w:rsidRPr="00DF686A" w:rsidRDefault="00B738FA" w:rsidP="00B86C3C">
      <w:pPr>
        <w:shd w:val="clear" w:color="auto" w:fill="FFFFFF"/>
        <w:jc w:val="center"/>
        <w:rPr>
          <w:sz w:val="22"/>
          <w:szCs w:val="22"/>
        </w:rPr>
      </w:pPr>
      <w:r w:rsidRPr="00DF686A">
        <w:rPr>
          <w:bCs/>
          <w:spacing w:val="11"/>
          <w:sz w:val="22"/>
          <w:szCs w:val="22"/>
        </w:rPr>
        <w:t>§</w:t>
      </w:r>
      <w:r w:rsidR="00C32FFA">
        <w:rPr>
          <w:bCs/>
          <w:spacing w:val="11"/>
          <w:sz w:val="22"/>
          <w:szCs w:val="22"/>
        </w:rPr>
        <w:t xml:space="preserve"> </w:t>
      </w:r>
      <w:r w:rsidRPr="00DF686A">
        <w:rPr>
          <w:bCs/>
          <w:spacing w:val="11"/>
          <w:sz w:val="22"/>
          <w:szCs w:val="22"/>
        </w:rPr>
        <w:t>1</w:t>
      </w:r>
    </w:p>
    <w:p w:rsidR="00B738FA" w:rsidRPr="00B65E8D" w:rsidRDefault="00B738FA" w:rsidP="003A0683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65E8D">
        <w:rPr>
          <w:spacing w:val="3"/>
          <w:sz w:val="22"/>
          <w:szCs w:val="22"/>
        </w:rPr>
        <w:t>Za środki trwałe uznaje się rzeczowe aktywa trwałe i zrównane z nimi, o ile spełniają</w:t>
      </w:r>
      <w:r w:rsidRPr="00B65E8D">
        <w:rPr>
          <w:spacing w:val="9"/>
          <w:sz w:val="22"/>
          <w:szCs w:val="22"/>
        </w:rPr>
        <w:t xml:space="preserve"> </w:t>
      </w:r>
      <w:r w:rsidR="00B65E8D" w:rsidRPr="00B65E8D">
        <w:rPr>
          <w:spacing w:val="2"/>
          <w:sz w:val="22"/>
          <w:szCs w:val="22"/>
        </w:rPr>
        <w:t xml:space="preserve">następujące </w:t>
      </w:r>
      <w:r w:rsidRPr="00B65E8D">
        <w:rPr>
          <w:spacing w:val="2"/>
          <w:sz w:val="22"/>
          <w:szCs w:val="22"/>
        </w:rPr>
        <w:t>warunki:</w:t>
      </w:r>
    </w:p>
    <w:p w:rsidR="00B738FA" w:rsidRPr="00B65E8D" w:rsidRDefault="00B738FA" w:rsidP="003A0683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B65E8D">
        <w:rPr>
          <w:spacing w:val="3"/>
          <w:sz w:val="22"/>
          <w:szCs w:val="22"/>
        </w:rPr>
        <w:t>przewidywany okres ekonomicznej użyteczności jest dłuższy niż rok,</w:t>
      </w:r>
    </w:p>
    <w:p w:rsidR="00B738FA" w:rsidRPr="00B65E8D" w:rsidRDefault="00B738FA" w:rsidP="003A0683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B65E8D">
        <w:rPr>
          <w:spacing w:val="3"/>
          <w:sz w:val="22"/>
          <w:szCs w:val="22"/>
        </w:rPr>
        <w:t>kompletne i zdatne do użytku (w momencie przyjęcia do używania),</w:t>
      </w:r>
    </w:p>
    <w:p w:rsidR="00B738FA" w:rsidRPr="00B65E8D" w:rsidRDefault="00B738FA" w:rsidP="003A0683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B65E8D">
        <w:rPr>
          <w:spacing w:val="2"/>
          <w:sz w:val="22"/>
          <w:szCs w:val="22"/>
        </w:rPr>
        <w:t>przeznaczone na potrzeby jednostki,</w:t>
      </w:r>
    </w:p>
    <w:p w:rsidR="009035E3" w:rsidRPr="00B65E8D" w:rsidRDefault="00B738FA" w:rsidP="003A0683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B65E8D">
        <w:rPr>
          <w:spacing w:val="2"/>
          <w:sz w:val="22"/>
          <w:szCs w:val="22"/>
        </w:rPr>
        <w:t xml:space="preserve">oddane do używania na podstawie umowy najmu, dzierżawy lub innej umowy </w:t>
      </w:r>
      <w:r w:rsidRPr="00B65E8D">
        <w:rPr>
          <w:sz w:val="22"/>
          <w:szCs w:val="22"/>
        </w:rPr>
        <w:t>o </w:t>
      </w:r>
      <w:r w:rsidRPr="00B65E8D">
        <w:rPr>
          <w:spacing w:val="3"/>
          <w:sz w:val="22"/>
          <w:szCs w:val="22"/>
        </w:rPr>
        <w:t>podobnym charakterze.</w:t>
      </w:r>
    </w:p>
    <w:p w:rsidR="00B738FA" w:rsidRPr="00140641" w:rsidRDefault="00B738FA" w:rsidP="003A0683">
      <w:pPr>
        <w:pStyle w:val="Akapitzlist"/>
        <w:numPr>
          <w:ilvl w:val="0"/>
          <w:numId w:val="12"/>
        </w:numPr>
        <w:shd w:val="clear" w:color="auto" w:fill="FFFFFF"/>
        <w:tabs>
          <w:tab w:val="left" w:pos="490"/>
        </w:tabs>
        <w:jc w:val="both"/>
        <w:rPr>
          <w:sz w:val="22"/>
          <w:szCs w:val="22"/>
        </w:rPr>
      </w:pPr>
      <w:r w:rsidRPr="00140641">
        <w:rPr>
          <w:spacing w:val="2"/>
          <w:sz w:val="22"/>
          <w:szCs w:val="22"/>
        </w:rPr>
        <w:t>Do środków trwałych zalicza się w szczególności:</w:t>
      </w:r>
    </w:p>
    <w:p w:rsidR="000F058B" w:rsidRPr="00140641" w:rsidRDefault="00B738FA" w:rsidP="003A0683">
      <w:pPr>
        <w:pStyle w:val="Akapitzlist"/>
        <w:numPr>
          <w:ilvl w:val="0"/>
          <w:numId w:val="14"/>
        </w:numPr>
        <w:shd w:val="clear" w:color="auto" w:fill="FFFFFF"/>
        <w:tabs>
          <w:tab w:val="left" w:pos="490"/>
        </w:tabs>
        <w:jc w:val="both"/>
        <w:rPr>
          <w:sz w:val="22"/>
          <w:szCs w:val="22"/>
        </w:rPr>
      </w:pPr>
      <w:r w:rsidRPr="00140641">
        <w:rPr>
          <w:spacing w:val="3"/>
          <w:sz w:val="22"/>
          <w:szCs w:val="22"/>
        </w:rPr>
        <w:t>nieruchomości (grunty, budynki, w tym także będące odrębną własnością lokale, budowle, inwestycje w obcych obiektach),</w:t>
      </w:r>
    </w:p>
    <w:p w:rsidR="00B738FA" w:rsidRPr="00140641" w:rsidRDefault="00B738FA" w:rsidP="003A0683">
      <w:pPr>
        <w:pStyle w:val="Akapitzlist"/>
        <w:numPr>
          <w:ilvl w:val="0"/>
          <w:numId w:val="14"/>
        </w:numPr>
        <w:shd w:val="clear" w:color="auto" w:fill="FFFFFF"/>
        <w:tabs>
          <w:tab w:val="left" w:pos="490"/>
        </w:tabs>
        <w:jc w:val="both"/>
        <w:rPr>
          <w:sz w:val="22"/>
          <w:szCs w:val="22"/>
        </w:rPr>
      </w:pPr>
      <w:r w:rsidRPr="00140641">
        <w:rPr>
          <w:spacing w:val="3"/>
          <w:sz w:val="22"/>
          <w:szCs w:val="22"/>
        </w:rPr>
        <w:t>maszyny, urządzenia, środki transportu oraz inne przedmioty,</w:t>
      </w:r>
    </w:p>
    <w:p w:rsidR="00B738FA" w:rsidRPr="00140641" w:rsidRDefault="00B738FA" w:rsidP="003A0683">
      <w:pPr>
        <w:pStyle w:val="Akapitzlist"/>
        <w:numPr>
          <w:ilvl w:val="0"/>
          <w:numId w:val="14"/>
        </w:numPr>
        <w:shd w:val="clear" w:color="auto" w:fill="FFFFFF"/>
        <w:tabs>
          <w:tab w:val="left" w:pos="490"/>
        </w:tabs>
        <w:jc w:val="both"/>
        <w:rPr>
          <w:sz w:val="22"/>
          <w:szCs w:val="22"/>
        </w:rPr>
      </w:pPr>
      <w:r w:rsidRPr="00140641">
        <w:rPr>
          <w:spacing w:val="4"/>
          <w:sz w:val="22"/>
          <w:szCs w:val="22"/>
        </w:rPr>
        <w:t>ulepszenia w obcych środkach trwałych,</w:t>
      </w:r>
    </w:p>
    <w:p w:rsidR="00444846" w:rsidRPr="00140641" w:rsidRDefault="00B738FA" w:rsidP="003A0683">
      <w:pPr>
        <w:pStyle w:val="Akapitzlist"/>
        <w:numPr>
          <w:ilvl w:val="0"/>
          <w:numId w:val="14"/>
        </w:numPr>
        <w:shd w:val="clear" w:color="auto" w:fill="FFFFFF"/>
        <w:tabs>
          <w:tab w:val="left" w:pos="490"/>
        </w:tabs>
        <w:jc w:val="both"/>
        <w:rPr>
          <w:sz w:val="22"/>
          <w:szCs w:val="22"/>
        </w:rPr>
      </w:pPr>
      <w:r w:rsidRPr="00140641">
        <w:rPr>
          <w:spacing w:val="4"/>
          <w:sz w:val="22"/>
          <w:szCs w:val="22"/>
        </w:rPr>
        <w:t>inwentarz żywy</w:t>
      </w:r>
      <w:r w:rsidR="00444846" w:rsidRPr="00140641">
        <w:rPr>
          <w:spacing w:val="4"/>
          <w:sz w:val="22"/>
          <w:szCs w:val="22"/>
        </w:rPr>
        <w:t>,</w:t>
      </w:r>
    </w:p>
    <w:p w:rsidR="00444846" w:rsidRPr="00140641" w:rsidRDefault="00444846" w:rsidP="003A0683">
      <w:pPr>
        <w:pStyle w:val="Akapitzlist"/>
        <w:numPr>
          <w:ilvl w:val="0"/>
          <w:numId w:val="14"/>
        </w:numPr>
        <w:shd w:val="clear" w:color="auto" w:fill="FFFFFF"/>
        <w:tabs>
          <w:tab w:val="left" w:pos="490"/>
        </w:tabs>
        <w:jc w:val="both"/>
        <w:rPr>
          <w:sz w:val="22"/>
          <w:szCs w:val="22"/>
        </w:rPr>
      </w:pPr>
      <w:r w:rsidRPr="00140641">
        <w:rPr>
          <w:spacing w:val="2"/>
          <w:sz w:val="22"/>
          <w:szCs w:val="22"/>
        </w:rPr>
        <w:t xml:space="preserve">obce środki trwałe używane przez jednostki organizacyjne Uczelni na podstawie umowy </w:t>
      </w:r>
      <w:r w:rsidR="001A17EF" w:rsidRPr="00140641">
        <w:rPr>
          <w:spacing w:val="2"/>
          <w:sz w:val="22"/>
          <w:szCs w:val="22"/>
        </w:rPr>
        <w:t xml:space="preserve">  </w:t>
      </w:r>
      <w:r w:rsidRPr="00140641">
        <w:rPr>
          <w:spacing w:val="2"/>
          <w:sz w:val="22"/>
          <w:szCs w:val="22"/>
        </w:rPr>
        <w:t>najmu, dzierżawy lub innej umowy o podobnym charakt</w:t>
      </w:r>
      <w:r w:rsidR="00B86C3C">
        <w:rPr>
          <w:spacing w:val="2"/>
          <w:sz w:val="22"/>
          <w:szCs w:val="22"/>
        </w:rPr>
        <w:t>erze, jeżeli z innych przepisów</w:t>
      </w:r>
      <w:r w:rsidR="001A17EF" w:rsidRPr="00140641">
        <w:rPr>
          <w:spacing w:val="2"/>
          <w:sz w:val="22"/>
          <w:szCs w:val="22"/>
        </w:rPr>
        <w:t xml:space="preserve"> </w:t>
      </w:r>
      <w:r w:rsidRPr="00140641">
        <w:rPr>
          <w:spacing w:val="2"/>
          <w:sz w:val="22"/>
          <w:szCs w:val="22"/>
        </w:rPr>
        <w:t>wynika prawo dokonywania od nich odpisów amortyzacyjnych</w:t>
      </w:r>
      <w:r w:rsidR="00D90153" w:rsidRPr="00140641">
        <w:rPr>
          <w:spacing w:val="2"/>
          <w:sz w:val="22"/>
          <w:szCs w:val="22"/>
        </w:rPr>
        <w:t xml:space="preserve"> </w:t>
      </w:r>
      <w:r w:rsidRPr="00140641">
        <w:rPr>
          <w:spacing w:val="2"/>
          <w:sz w:val="22"/>
          <w:szCs w:val="22"/>
        </w:rPr>
        <w:t>przez korzystającą z tych środków jednostkę.</w:t>
      </w:r>
    </w:p>
    <w:p w:rsidR="00140641" w:rsidRDefault="00140641" w:rsidP="00DF686A">
      <w:pPr>
        <w:shd w:val="clear" w:color="auto" w:fill="FFFFFF"/>
        <w:ind w:right="24"/>
        <w:jc w:val="center"/>
        <w:rPr>
          <w:spacing w:val="2"/>
          <w:sz w:val="22"/>
          <w:szCs w:val="22"/>
        </w:rPr>
      </w:pPr>
    </w:p>
    <w:p w:rsidR="00B738FA" w:rsidRPr="00DF686A" w:rsidRDefault="00B738FA" w:rsidP="00DF686A">
      <w:pPr>
        <w:shd w:val="clear" w:color="auto" w:fill="FFFFFF"/>
        <w:ind w:right="24"/>
        <w:jc w:val="center"/>
        <w:rPr>
          <w:spacing w:val="2"/>
          <w:sz w:val="22"/>
          <w:szCs w:val="22"/>
        </w:rPr>
      </w:pPr>
      <w:r w:rsidRPr="00DF686A">
        <w:rPr>
          <w:spacing w:val="2"/>
          <w:sz w:val="22"/>
          <w:szCs w:val="22"/>
        </w:rPr>
        <w:t>§</w:t>
      </w:r>
      <w:r w:rsidR="00C32FFA">
        <w:rPr>
          <w:spacing w:val="2"/>
          <w:sz w:val="22"/>
          <w:szCs w:val="22"/>
        </w:rPr>
        <w:t xml:space="preserve"> </w:t>
      </w:r>
      <w:r w:rsidRPr="00DF686A">
        <w:rPr>
          <w:spacing w:val="2"/>
          <w:sz w:val="22"/>
          <w:szCs w:val="22"/>
        </w:rPr>
        <w:t>2</w:t>
      </w:r>
    </w:p>
    <w:p w:rsidR="00B738FA" w:rsidRPr="00DF686A" w:rsidRDefault="00B738FA" w:rsidP="003A0683">
      <w:pPr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pacing w:val="6"/>
          <w:sz w:val="22"/>
          <w:szCs w:val="22"/>
        </w:rPr>
        <w:t xml:space="preserve">Środki trwałe przyjmuje się do ewidencji majątku Uczelni według jednostkowej wartości </w:t>
      </w:r>
      <w:r w:rsidRPr="00DF686A">
        <w:rPr>
          <w:spacing w:val="1"/>
          <w:sz w:val="22"/>
          <w:szCs w:val="22"/>
        </w:rPr>
        <w:t>początkowej.</w:t>
      </w:r>
    </w:p>
    <w:p w:rsidR="00B738FA" w:rsidRPr="00DF686A" w:rsidRDefault="00B738FA" w:rsidP="003A0683">
      <w:pPr>
        <w:numPr>
          <w:ilvl w:val="0"/>
          <w:numId w:val="2"/>
        </w:numPr>
        <w:shd w:val="clear" w:color="auto" w:fill="FFFFFF"/>
        <w:jc w:val="both"/>
        <w:rPr>
          <w:spacing w:val="3"/>
          <w:sz w:val="22"/>
          <w:szCs w:val="22"/>
        </w:rPr>
      </w:pPr>
      <w:r w:rsidRPr="00DF686A">
        <w:rPr>
          <w:spacing w:val="3"/>
          <w:sz w:val="22"/>
          <w:szCs w:val="22"/>
        </w:rPr>
        <w:t>Za wartość początkową środków trwałych uważa się:</w:t>
      </w:r>
    </w:p>
    <w:p w:rsidR="00140641" w:rsidRPr="00140641" w:rsidRDefault="00B738FA" w:rsidP="003A0683">
      <w:pPr>
        <w:pStyle w:val="Akapitzlist"/>
        <w:numPr>
          <w:ilvl w:val="0"/>
          <w:numId w:val="15"/>
        </w:numPr>
        <w:shd w:val="clear" w:color="auto" w:fill="FFFFFF"/>
        <w:jc w:val="both"/>
        <w:rPr>
          <w:strike/>
          <w:sz w:val="22"/>
          <w:szCs w:val="22"/>
        </w:rPr>
      </w:pPr>
      <w:r w:rsidRPr="00140641">
        <w:rPr>
          <w:spacing w:val="2"/>
          <w:sz w:val="22"/>
          <w:szCs w:val="22"/>
        </w:rPr>
        <w:t>w razi</w:t>
      </w:r>
      <w:r w:rsidR="00140641">
        <w:rPr>
          <w:spacing w:val="2"/>
          <w:sz w:val="22"/>
          <w:szCs w:val="22"/>
        </w:rPr>
        <w:t>e zakupu (odpłatnego nabycia) – cenę nabycia;</w:t>
      </w:r>
      <w:r w:rsidRPr="00140641">
        <w:rPr>
          <w:spacing w:val="2"/>
          <w:sz w:val="22"/>
          <w:szCs w:val="22"/>
        </w:rPr>
        <w:t xml:space="preserve"> </w:t>
      </w:r>
      <w:r w:rsidR="00140641">
        <w:rPr>
          <w:sz w:val="22"/>
          <w:szCs w:val="22"/>
        </w:rPr>
        <w:t>z</w:t>
      </w:r>
      <w:r w:rsidRPr="00140641">
        <w:rPr>
          <w:sz w:val="22"/>
          <w:szCs w:val="22"/>
        </w:rPr>
        <w:t>a cenę nabycia uważa się kwotę należną sprzedającemu powiększoną o koszty związane z zakupem naliczone do dnia przekazania środka trwałego do używania, a w szczególności o koszty transportu, załadunku i wyładunku, ubezpieczenia w drodze, montażu, opłat notarialnych, skarbowych i innych, odsetek, prowizji, a także różnice kursowe oraz o naliczony podatek od towarów i usłu</w:t>
      </w:r>
      <w:r w:rsidR="00B86C3C">
        <w:rPr>
          <w:sz w:val="22"/>
          <w:szCs w:val="22"/>
        </w:rPr>
        <w:t>g (VAT), ale tylko w tej części</w:t>
      </w:r>
      <w:r w:rsidRPr="00140641">
        <w:rPr>
          <w:sz w:val="22"/>
          <w:szCs w:val="22"/>
        </w:rPr>
        <w:t>, która nie podlega odliczeniu od podatku należnego lub zwrotowi</w:t>
      </w:r>
      <w:r w:rsidR="00031148" w:rsidRPr="00140641">
        <w:rPr>
          <w:sz w:val="22"/>
          <w:szCs w:val="22"/>
        </w:rPr>
        <w:t>,</w:t>
      </w:r>
    </w:p>
    <w:p w:rsidR="00B738FA" w:rsidRPr="00140641" w:rsidRDefault="00B738FA" w:rsidP="003A0683">
      <w:pPr>
        <w:pStyle w:val="Akapitzlist"/>
        <w:numPr>
          <w:ilvl w:val="0"/>
          <w:numId w:val="15"/>
        </w:numPr>
        <w:shd w:val="clear" w:color="auto" w:fill="FFFFFF"/>
        <w:jc w:val="both"/>
        <w:rPr>
          <w:strike/>
          <w:sz w:val="22"/>
          <w:szCs w:val="22"/>
        </w:rPr>
      </w:pPr>
      <w:r w:rsidRPr="00140641">
        <w:rPr>
          <w:sz w:val="22"/>
          <w:szCs w:val="22"/>
        </w:rPr>
        <w:t>w razie wytworzenia we własn</w:t>
      </w:r>
      <w:r w:rsidR="00C32FFA">
        <w:rPr>
          <w:sz w:val="22"/>
          <w:szCs w:val="22"/>
        </w:rPr>
        <w:t xml:space="preserve">ym zakresie – </w:t>
      </w:r>
      <w:r w:rsidR="00140641">
        <w:rPr>
          <w:sz w:val="22"/>
          <w:szCs w:val="22"/>
        </w:rPr>
        <w:t>koszt wytworzenia; z</w:t>
      </w:r>
      <w:r w:rsidRPr="00140641">
        <w:rPr>
          <w:sz w:val="22"/>
          <w:szCs w:val="22"/>
        </w:rPr>
        <w:t>a koszt wytworzenia uważa się wartość, w cenie nabycia, zużytych do wytworzenia środków trwałych: rzeczowych składników majątku i wykorzystanych usług obcych, kosztów wynagrodzeń za prace (wraz z pochodnymi) i inne koszty dające się zaliczyć do wartości wytworzonych środków trwałych (</w:t>
      </w:r>
      <w:r w:rsidR="00560AEB" w:rsidRPr="00140641">
        <w:rPr>
          <w:sz w:val="22"/>
          <w:szCs w:val="22"/>
        </w:rPr>
        <w:t xml:space="preserve">np. </w:t>
      </w:r>
      <w:r w:rsidRPr="00140641">
        <w:rPr>
          <w:sz w:val="22"/>
          <w:szCs w:val="22"/>
        </w:rPr>
        <w:t>odse</w:t>
      </w:r>
      <w:r w:rsidR="00140641">
        <w:rPr>
          <w:sz w:val="22"/>
          <w:szCs w:val="22"/>
        </w:rPr>
        <w:t>tki, prowizje, różnice kursowe); d</w:t>
      </w:r>
      <w:r w:rsidRPr="00140641">
        <w:rPr>
          <w:sz w:val="22"/>
          <w:szCs w:val="22"/>
        </w:rPr>
        <w:t>o kosztu wytworzenia nie zalicza się kosztów ogólnych Uczelni,</w:t>
      </w:r>
    </w:p>
    <w:p w:rsidR="00B738FA" w:rsidRPr="00140641" w:rsidRDefault="00B738FA" w:rsidP="003A0683">
      <w:pPr>
        <w:pStyle w:val="Akapitzlist"/>
        <w:numPr>
          <w:ilvl w:val="0"/>
          <w:numId w:val="15"/>
        </w:numPr>
        <w:shd w:val="clear" w:color="auto" w:fill="FFFFFF"/>
        <w:jc w:val="both"/>
        <w:rPr>
          <w:strike/>
          <w:sz w:val="22"/>
          <w:szCs w:val="22"/>
        </w:rPr>
      </w:pPr>
      <w:r w:rsidRPr="00140641">
        <w:rPr>
          <w:sz w:val="22"/>
          <w:szCs w:val="22"/>
        </w:rPr>
        <w:t>w razie nabycia w drodze spadku, darowizny lub w inny nieodpłatny sposób</w:t>
      </w:r>
      <w:r w:rsidR="00140641">
        <w:rPr>
          <w:sz w:val="22"/>
          <w:szCs w:val="22"/>
        </w:rPr>
        <w:t xml:space="preserve"> – </w:t>
      </w:r>
      <w:r w:rsidR="00276835" w:rsidRPr="00140641">
        <w:rPr>
          <w:sz w:val="22"/>
          <w:szCs w:val="22"/>
        </w:rPr>
        <w:t xml:space="preserve">wartość rynkową </w:t>
      </w:r>
      <w:r w:rsidR="00140641">
        <w:rPr>
          <w:sz w:val="22"/>
          <w:szCs w:val="22"/>
        </w:rPr>
        <w:br/>
      </w:r>
      <w:r w:rsidR="00276835" w:rsidRPr="00140641">
        <w:rPr>
          <w:sz w:val="22"/>
          <w:szCs w:val="22"/>
        </w:rPr>
        <w:t>z dnia nabycia, chyba, że umowa darowizny albo umowa o nieodpłatnym przekazaniu określa tę wartość w niższej wysok</w:t>
      </w:r>
      <w:r w:rsidR="00140641">
        <w:rPr>
          <w:sz w:val="22"/>
          <w:szCs w:val="22"/>
        </w:rPr>
        <w:t>ości; w</w:t>
      </w:r>
      <w:r w:rsidRPr="00140641">
        <w:rPr>
          <w:sz w:val="22"/>
          <w:szCs w:val="22"/>
        </w:rPr>
        <w:t xml:space="preserve"> przypadku darowizny przez </w:t>
      </w:r>
      <w:r w:rsidR="00560AEB" w:rsidRPr="00140641">
        <w:rPr>
          <w:sz w:val="22"/>
          <w:szCs w:val="22"/>
        </w:rPr>
        <w:t>podmioty</w:t>
      </w:r>
      <w:r w:rsidRPr="00140641">
        <w:rPr>
          <w:sz w:val="22"/>
          <w:szCs w:val="22"/>
        </w:rPr>
        <w:t xml:space="preserve"> zagraniczne podstawę ewidencji stanowi wartość podana w umow</w:t>
      </w:r>
      <w:r w:rsidR="00560AEB" w:rsidRPr="00140641">
        <w:rPr>
          <w:sz w:val="22"/>
          <w:szCs w:val="22"/>
        </w:rPr>
        <w:t>ie</w:t>
      </w:r>
      <w:r w:rsidRPr="00140641">
        <w:rPr>
          <w:sz w:val="22"/>
          <w:szCs w:val="22"/>
        </w:rPr>
        <w:t xml:space="preserve"> darowizny w przeliczeniu na PLN według dokumentu odprawy celnej SAD wraz z kosztami związanymi z przyjęciem tej darowizny (np. koszt transportu, ubezpieczenia, cła i podatku</w:t>
      </w:r>
      <w:r w:rsidR="00031148" w:rsidRPr="00140641">
        <w:rPr>
          <w:sz w:val="22"/>
          <w:szCs w:val="22"/>
        </w:rPr>
        <w:t>,</w:t>
      </w:r>
      <w:r w:rsidRPr="00140641">
        <w:rPr>
          <w:sz w:val="22"/>
          <w:szCs w:val="22"/>
        </w:rPr>
        <w:t xml:space="preserve"> jeżeli są uiszczane) bądź wartość rynkowa</w:t>
      </w:r>
      <w:r w:rsidR="0016351D" w:rsidRPr="00140641">
        <w:rPr>
          <w:sz w:val="22"/>
          <w:szCs w:val="22"/>
        </w:rPr>
        <w:t xml:space="preserve"> w przypadku darowizny </w:t>
      </w:r>
      <w:r w:rsidR="00140641">
        <w:rPr>
          <w:sz w:val="22"/>
          <w:szCs w:val="22"/>
        </w:rPr>
        <w:br/>
      </w:r>
      <w:r w:rsidR="0016351D" w:rsidRPr="00140641">
        <w:rPr>
          <w:sz w:val="22"/>
          <w:szCs w:val="22"/>
        </w:rPr>
        <w:t>z krajów Unii Europejskiej.</w:t>
      </w:r>
    </w:p>
    <w:p w:rsidR="00B738FA" w:rsidRPr="00DF686A" w:rsidRDefault="00B738FA" w:rsidP="003A0683">
      <w:pPr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Jeżeli nie jest możliwe ustalenie ceny nabycia składnika aktywów, a w szczególności przyjętego nieodpłat</w:t>
      </w:r>
      <w:r w:rsidR="00140641">
        <w:rPr>
          <w:sz w:val="22"/>
          <w:szCs w:val="22"/>
        </w:rPr>
        <w:t xml:space="preserve">nie, w tym w drodze darowizny – </w:t>
      </w:r>
      <w:r w:rsidRPr="00DF686A">
        <w:rPr>
          <w:sz w:val="22"/>
          <w:szCs w:val="22"/>
        </w:rPr>
        <w:t>jego wyceny dokonuje się według ceny sprzedaży takiego samego lub podobnego środka trwałego.</w:t>
      </w:r>
    </w:p>
    <w:p w:rsidR="00184908" w:rsidRPr="00DF686A" w:rsidRDefault="00184908" w:rsidP="003A0683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Wykładzina podłogowa i szkło laboratoryjne, bez względu na wartość</w:t>
      </w:r>
      <w:r w:rsidR="00C32FFA">
        <w:rPr>
          <w:sz w:val="22"/>
          <w:szCs w:val="22"/>
        </w:rPr>
        <w:t>,</w:t>
      </w:r>
      <w:r w:rsidRPr="00DF686A">
        <w:rPr>
          <w:sz w:val="22"/>
          <w:szCs w:val="22"/>
        </w:rPr>
        <w:t xml:space="preserve"> podlega tylko ewidencji ilościowej.</w:t>
      </w:r>
    </w:p>
    <w:p w:rsidR="00B738FA" w:rsidRPr="00DF686A" w:rsidRDefault="00B738FA" w:rsidP="00DF686A">
      <w:pPr>
        <w:shd w:val="clear" w:color="auto" w:fill="FFFFFF"/>
        <w:ind w:left="3540" w:firstLine="708"/>
        <w:jc w:val="both"/>
        <w:rPr>
          <w:bCs/>
          <w:sz w:val="22"/>
          <w:szCs w:val="22"/>
        </w:rPr>
      </w:pPr>
    </w:p>
    <w:p w:rsidR="00140641" w:rsidRDefault="00140641" w:rsidP="00C32FFA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C32FF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</w:t>
      </w:r>
    </w:p>
    <w:p w:rsidR="00B738FA" w:rsidRPr="00140641" w:rsidRDefault="00B738FA" w:rsidP="003A0683">
      <w:pPr>
        <w:pStyle w:val="Akapitzlist"/>
        <w:numPr>
          <w:ilvl w:val="0"/>
          <w:numId w:val="16"/>
        </w:numPr>
        <w:shd w:val="clear" w:color="auto" w:fill="FFFFFF"/>
        <w:jc w:val="both"/>
        <w:rPr>
          <w:bCs/>
          <w:sz w:val="22"/>
          <w:szCs w:val="22"/>
        </w:rPr>
      </w:pPr>
      <w:r w:rsidRPr="00140641">
        <w:rPr>
          <w:sz w:val="22"/>
          <w:szCs w:val="22"/>
        </w:rPr>
        <w:t xml:space="preserve">Wartość początkową środka trwałego powiększają </w:t>
      </w:r>
      <w:r w:rsidR="00E83BAE" w:rsidRPr="00140641">
        <w:rPr>
          <w:sz w:val="22"/>
          <w:szCs w:val="22"/>
        </w:rPr>
        <w:t>nakłady na</w:t>
      </w:r>
      <w:r w:rsidRPr="00140641">
        <w:rPr>
          <w:sz w:val="22"/>
          <w:szCs w:val="22"/>
        </w:rPr>
        <w:t xml:space="preserve"> jego ulepszenia w wyniku:</w:t>
      </w:r>
    </w:p>
    <w:p w:rsidR="00B738FA" w:rsidRPr="00DF686A" w:rsidRDefault="00B738FA" w:rsidP="003A0683">
      <w:pPr>
        <w:pStyle w:val="Akapitzlist"/>
        <w:numPr>
          <w:ilvl w:val="0"/>
          <w:numId w:val="6"/>
        </w:numPr>
        <w:shd w:val="clear" w:color="auto" w:fill="FFFFFF"/>
        <w:ind w:left="284" w:firstLine="76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przebudowy,</w:t>
      </w:r>
    </w:p>
    <w:p w:rsidR="00B738FA" w:rsidRPr="00DF686A" w:rsidRDefault="00B738FA" w:rsidP="003A0683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rozbudowy,</w:t>
      </w:r>
    </w:p>
    <w:p w:rsidR="00B738FA" w:rsidRPr="00DF686A" w:rsidRDefault="00B738FA" w:rsidP="003A0683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rekonstrukcji,</w:t>
      </w:r>
    </w:p>
    <w:p w:rsidR="00DB0372" w:rsidRPr="00DF686A" w:rsidRDefault="00B738FA" w:rsidP="003A0683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adaptacji i modernizacji,</w:t>
      </w:r>
    </w:p>
    <w:p w:rsidR="00DB0372" w:rsidRPr="00140641" w:rsidRDefault="00B738FA" w:rsidP="003A0683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zakupu części składowych i peryferyjnych</w:t>
      </w:r>
      <w:r w:rsidR="00E83BAE" w:rsidRPr="00DF686A">
        <w:rPr>
          <w:sz w:val="22"/>
          <w:szCs w:val="22"/>
        </w:rPr>
        <w:t>.</w:t>
      </w:r>
    </w:p>
    <w:p w:rsidR="00B738FA" w:rsidRPr="00DF686A" w:rsidRDefault="00EF62D8" w:rsidP="00DF686A">
      <w:pPr>
        <w:shd w:val="clear" w:color="auto" w:fill="FFFFFF"/>
        <w:ind w:left="284" w:hanging="284"/>
        <w:jc w:val="both"/>
        <w:rPr>
          <w:sz w:val="22"/>
          <w:szCs w:val="22"/>
        </w:rPr>
      </w:pPr>
      <w:r w:rsidRPr="00DF686A">
        <w:rPr>
          <w:sz w:val="22"/>
          <w:szCs w:val="22"/>
        </w:rPr>
        <w:lastRenderedPageBreak/>
        <w:t>2</w:t>
      </w:r>
      <w:r w:rsidR="00116672" w:rsidRPr="00DF686A">
        <w:rPr>
          <w:sz w:val="22"/>
          <w:szCs w:val="22"/>
        </w:rPr>
        <w:t>. Ś</w:t>
      </w:r>
      <w:r w:rsidR="00B738FA" w:rsidRPr="00DF686A">
        <w:rPr>
          <w:sz w:val="22"/>
          <w:szCs w:val="22"/>
        </w:rPr>
        <w:t xml:space="preserve">rodki trwałe uważa się za ulepszone, gdy suma wydatków </w:t>
      </w:r>
      <w:r w:rsidR="00E83BAE" w:rsidRPr="00DF686A">
        <w:rPr>
          <w:sz w:val="22"/>
          <w:szCs w:val="22"/>
        </w:rPr>
        <w:t>wymienionych w</w:t>
      </w:r>
      <w:r w:rsidR="00116672" w:rsidRPr="00DF686A">
        <w:rPr>
          <w:sz w:val="22"/>
          <w:szCs w:val="22"/>
        </w:rPr>
        <w:t xml:space="preserve"> </w:t>
      </w:r>
      <w:r w:rsidR="00E83BAE" w:rsidRPr="00DF686A">
        <w:rPr>
          <w:bCs/>
          <w:sz w:val="22"/>
          <w:szCs w:val="22"/>
        </w:rPr>
        <w:t>§</w:t>
      </w:r>
      <w:r w:rsidR="00C32FFA">
        <w:rPr>
          <w:bCs/>
          <w:sz w:val="22"/>
          <w:szCs w:val="22"/>
        </w:rPr>
        <w:t xml:space="preserve"> </w:t>
      </w:r>
      <w:r w:rsidR="00E83BAE" w:rsidRPr="00DF686A">
        <w:rPr>
          <w:bCs/>
          <w:sz w:val="22"/>
          <w:szCs w:val="22"/>
        </w:rPr>
        <w:t>3</w:t>
      </w:r>
      <w:r w:rsidR="00140641">
        <w:rPr>
          <w:sz w:val="22"/>
          <w:szCs w:val="22"/>
        </w:rPr>
        <w:t xml:space="preserve"> pkt 1</w:t>
      </w:r>
      <w:r w:rsidR="00E83BAE" w:rsidRPr="00DF686A">
        <w:rPr>
          <w:sz w:val="22"/>
          <w:szCs w:val="22"/>
        </w:rPr>
        <w:t xml:space="preserve"> </w:t>
      </w:r>
      <w:r w:rsidR="00B738FA" w:rsidRPr="00DF686A">
        <w:rPr>
          <w:sz w:val="22"/>
          <w:szCs w:val="22"/>
        </w:rPr>
        <w:t>w danym roku podatkowym przekracza</w:t>
      </w:r>
      <w:r w:rsidR="00E83BAE" w:rsidRPr="00DF686A">
        <w:rPr>
          <w:sz w:val="22"/>
          <w:szCs w:val="22"/>
        </w:rPr>
        <w:t xml:space="preserve"> </w:t>
      </w:r>
      <w:r w:rsidR="00C00FA1" w:rsidRPr="00DF686A">
        <w:rPr>
          <w:sz w:val="22"/>
          <w:szCs w:val="22"/>
        </w:rPr>
        <w:t>10 0</w:t>
      </w:r>
      <w:r w:rsidR="00B738FA" w:rsidRPr="00DF686A">
        <w:rPr>
          <w:sz w:val="22"/>
          <w:szCs w:val="22"/>
        </w:rPr>
        <w:t>00</w:t>
      </w:r>
      <w:r w:rsidR="00031148" w:rsidRPr="00DF686A">
        <w:rPr>
          <w:sz w:val="22"/>
          <w:szCs w:val="22"/>
        </w:rPr>
        <w:t xml:space="preserve"> </w:t>
      </w:r>
      <w:r w:rsidR="00B738FA" w:rsidRPr="00DF686A">
        <w:rPr>
          <w:sz w:val="22"/>
          <w:szCs w:val="22"/>
        </w:rPr>
        <w:t xml:space="preserve">zł i wydatki </w:t>
      </w:r>
      <w:r w:rsidR="00140641">
        <w:rPr>
          <w:sz w:val="22"/>
          <w:szCs w:val="22"/>
        </w:rPr>
        <w:t>te powodują wzrost ich wartości</w:t>
      </w:r>
      <w:r w:rsidR="00E83BAE" w:rsidRPr="00DF686A">
        <w:rPr>
          <w:sz w:val="22"/>
          <w:szCs w:val="22"/>
        </w:rPr>
        <w:t xml:space="preserve"> </w:t>
      </w:r>
      <w:r w:rsidR="00B738FA" w:rsidRPr="00DF686A">
        <w:rPr>
          <w:sz w:val="22"/>
          <w:szCs w:val="22"/>
        </w:rPr>
        <w:t xml:space="preserve">użytkowej w </w:t>
      </w:r>
      <w:r w:rsidR="00116672" w:rsidRPr="00DF686A">
        <w:rPr>
          <w:sz w:val="22"/>
          <w:szCs w:val="22"/>
        </w:rPr>
        <w:t>s</w:t>
      </w:r>
      <w:r w:rsidR="00B738FA" w:rsidRPr="00DF686A">
        <w:rPr>
          <w:sz w:val="22"/>
          <w:szCs w:val="22"/>
        </w:rPr>
        <w:t xml:space="preserve">tosunku </w:t>
      </w:r>
      <w:r w:rsidR="00140641">
        <w:rPr>
          <w:sz w:val="22"/>
          <w:szCs w:val="22"/>
        </w:rPr>
        <w:br/>
      </w:r>
      <w:r w:rsidR="00B738FA" w:rsidRPr="00DF686A">
        <w:rPr>
          <w:sz w:val="22"/>
          <w:szCs w:val="22"/>
        </w:rPr>
        <w:t>do wartości z dnia</w:t>
      </w:r>
      <w:r w:rsidR="00116672" w:rsidRPr="00DF686A">
        <w:rPr>
          <w:sz w:val="22"/>
          <w:szCs w:val="22"/>
        </w:rPr>
        <w:t xml:space="preserve"> </w:t>
      </w:r>
      <w:r w:rsidR="00B738FA" w:rsidRPr="00DF686A">
        <w:rPr>
          <w:sz w:val="22"/>
          <w:szCs w:val="22"/>
        </w:rPr>
        <w:t>przyjęcia środków trwałych do używania, mierzonej w szczególności okresem</w:t>
      </w:r>
      <w:r w:rsidR="00116672" w:rsidRPr="00DF686A">
        <w:rPr>
          <w:sz w:val="22"/>
          <w:szCs w:val="22"/>
        </w:rPr>
        <w:t xml:space="preserve"> </w:t>
      </w:r>
      <w:r w:rsidR="00B738FA" w:rsidRPr="00DF686A">
        <w:rPr>
          <w:sz w:val="22"/>
          <w:szCs w:val="22"/>
        </w:rPr>
        <w:t>używania, zdolnością wytwórczą, jakością produktów uzyskiwanych za pomocą</w:t>
      </w:r>
      <w:r w:rsidR="00437086" w:rsidRPr="00DF686A">
        <w:rPr>
          <w:sz w:val="22"/>
          <w:szCs w:val="22"/>
        </w:rPr>
        <w:t xml:space="preserve"> </w:t>
      </w:r>
      <w:r w:rsidR="00B738FA" w:rsidRPr="00DF686A">
        <w:rPr>
          <w:sz w:val="22"/>
          <w:szCs w:val="22"/>
        </w:rPr>
        <w:t>ulepszonych</w:t>
      </w:r>
      <w:r w:rsidR="00437086" w:rsidRPr="00DF686A">
        <w:rPr>
          <w:sz w:val="22"/>
          <w:szCs w:val="22"/>
        </w:rPr>
        <w:t xml:space="preserve">  </w:t>
      </w:r>
      <w:r w:rsidR="00B738FA" w:rsidRPr="00DF686A">
        <w:rPr>
          <w:sz w:val="22"/>
          <w:szCs w:val="22"/>
        </w:rPr>
        <w:t>środków trwałych i kosztami ich eksploatacji.</w:t>
      </w:r>
    </w:p>
    <w:p w:rsidR="00B738FA" w:rsidRPr="00DF686A" w:rsidRDefault="00B738FA" w:rsidP="00DF686A">
      <w:pPr>
        <w:shd w:val="clear" w:color="auto" w:fill="FFFFFF"/>
        <w:ind w:left="3540" w:firstLine="708"/>
        <w:jc w:val="both"/>
        <w:rPr>
          <w:b/>
          <w:bCs/>
          <w:sz w:val="22"/>
          <w:szCs w:val="22"/>
        </w:rPr>
      </w:pPr>
    </w:p>
    <w:p w:rsidR="00B738FA" w:rsidRPr="00C9790B" w:rsidRDefault="00C9790B" w:rsidP="00C32FFA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C32FF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</w:t>
      </w:r>
    </w:p>
    <w:p w:rsidR="00B738FA" w:rsidRPr="00C9790B" w:rsidRDefault="00B738FA" w:rsidP="003A0683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C9790B">
        <w:rPr>
          <w:sz w:val="22"/>
          <w:szCs w:val="22"/>
        </w:rPr>
        <w:t xml:space="preserve">Ze względu na wartość początkową środki trwałe </w:t>
      </w:r>
      <w:r w:rsidR="00D80C44" w:rsidRPr="00C9790B">
        <w:rPr>
          <w:sz w:val="22"/>
          <w:szCs w:val="22"/>
        </w:rPr>
        <w:t xml:space="preserve">UJK </w:t>
      </w:r>
      <w:r w:rsidRPr="00C9790B">
        <w:rPr>
          <w:sz w:val="22"/>
          <w:szCs w:val="22"/>
        </w:rPr>
        <w:t>dzielą się na:</w:t>
      </w:r>
    </w:p>
    <w:p w:rsidR="00B738FA" w:rsidRDefault="00C9790B" w:rsidP="003A0683">
      <w:pPr>
        <w:pStyle w:val="Akapitzlist"/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="00B738FA" w:rsidRPr="00C9790B">
        <w:rPr>
          <w:sz w:val="22"/>
          <w:szCs w:val="22"/>
        </w:rPr>
        <w:t xml:space="preserve">rodki trwałe </w:t>
      </w:r>
      <w:r w:rsidR="007A7F8F" w:rsidRPr="00C9790B">
        <w:rPr>
          <w:sz w:val="22"/>
          <w:szCs w:val="22"/>
        </w:rPr>
        <w:t>o wartości</w:t>
      </w:r>
      <w:r w:rsidR="00B738FA" w:rsidRPr="00C9790B">
        <w:rPr>
          <w:sz w:val="22"/>
          <w:szCs w:val="22"/>
        </w:rPr>
        <w:t xml:space="preserve"> początkowej </w:t>
      </w:r>
      <w:r w:rsidR="0024136B" w:rsidRPr="00C9790B">
        <w:rPr>
          <w:sz w:val="22"/>
          <w:szCs w:val="22"/>
        </w:rPr>
        <w:t>od</w:t>
      </w:r>
      <w:r w:rsidR="00B738FA" w:rsidRPr="00C9790B">
        <w:rPr>
          <w:sz w:val="22"/>
          <w:szCs w:val="22"/>
        </w:rPr>
        <w:t xml:space="preserve"> kwoty określonej do celów amortyzacji w ustawie </w:t>
      </w:r>
      <w:r>
        <w:rPr>
          <w:sz w:val="22"/>
          <w:szCs w:val="22"/>
        </w:rPr>
        <w:br/>
      </w:r>
      <w:r w:rsidR="00B738FA" w:rsidRPr="00C9790B">
        <w:rPr>
          <w:sz w:val="22"/>
          <w:szCs w:val="22"/>
        </w:rPr>
        <w:t>o podatku dochodowym od osób prawnych (aktualnie kwota</w:t>
      </w:r>
      <w:r w:rsidR="00B66E2D" w:rsidRPr="00C9790B">
        <w:rPr>
          <w:sz w:val="22"/>
          <w:szCs w:val="22"/>
        </w:rPr>
        <w:t xml:space="preserve"> 10 </w:t>
      </w:r>
      <w:r w:rsidR="00B738FA" w:rsidRPr="00C9790B">
        <w:rPr>
          <w:sz w:val="22"/>
          <w:szCs w:val="22"/>
        </w:rPr>
        <w:t>0</w:t>
      </w:r>
      <w:r w:rsidR="00B66E2D" w:rsidRPr="00C9790B">
        <w:rPr>
          <w:sz w:val="22"/>
          <w:szCs w:val="22"/>
        </w:rPr>
        <w:t>0</w:t>
      </w:r>
      <w:r w:rsidR="00B738FA" w:rsidRPr="00C9790B">
        <w:rPr>
          <w:sz w:val="22"/>
          <w:szCs w:val="22"/>
        </w:rPr>
        <w:t>0</w:t>
      </w:r>
      <w:r w:rsidR="002F7BB8" w:rsidRPr="00C9790B">
        <w:rPr>
          <w:sz w:val="22"/>
          <w:szCs w:val="22"/>
        </w:rPr>
        <w:t xml:space="preserve"> </w:t>
      </w:r>
      <w:r w:rsidR="00B738FA" w:rsidRPr="00C9790B">
        <w:rPr>
          <w:sz w:val="22"/>
          <w:szCs w:val="22"/>
        </w:rPr>
        <w:t>zł)</w:t>
      </w:r>
      <w:r w:rsidR="00364918" w:rsidRPr="00C9790B">
        <w:rPr>
          <w:sz w:val="22"/>
          <w:szCs w:val="22"/>
        </w:rPr>
        <w:t>,</w:t>
      </w:r>
    </w:p>
    <w:p w:rsidR="00C9790B" w:rsidRPr="00C9790B" w:rsidRDefault="00C9790B" w:rsidP="003A0683">
      <w:pPr>
        <w:pStyle w:val="Akapitzlist"/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="00B738FA" w:rsidRPr="00C9790B">
        <w:rPr>
          <w:sz w:val="22"/>
          <w:szCs w:val="22"/>
        </w:rPr>
        <w:t xml:space="preserve">rodki trwałe </w:t>
      </w:r>
      <w:r w:rsidR="002F7BB8" w:rsidRPr="00C9790B">
        <w:rPr>
          <w:sz w:val="22"/>
          <w:szCs w:val="22"/>
        </w:rPr>
        <w:t xml:space="preserve">o niskiej wartości </w:t>
      </w:r>
      <w:r w:rsidR="00AE41C3" w:rsidRPr="00C9790B">
        <w:rPr>
          <w:sz w:val="22"/>
          <w:szCs w:val="22"/>
        </w:rPr>
        <w:t>(</w:t>
      </w:r>
      <w:r w:rsidR="002F7BB8" w:rsidRPr="00C9790B">
        <w:rPr>
          <w:sz w:val="22"/>
          <w:szCs w:val="22"/>
        </w:rPr>
        <w:t xml:space="preserve">zwane </w:t>
      </w:r>
      <w:proofErr w:type="spellStart"/>
      <w:r w:rsidR="00B738FA" w:rsidRPr="00C9790B">
        <w:rPr>
          <w:sz w:val="22"/>
          <w:szCs w:val="22"/>
        </w:rPr>
        <w:t>niskocenn</w:t>
      </w:r>
      <w:r w:rsidR="002F7BB8" w:rsidRPr="00C9790B">
        <w:rPr>
          <w:sz w:val="22"/>
          <w:szCs w:val="22"/>
        </w:rPr>
        <w:t>ymi</w:t>
      </w:r>
      <w:proofErr w:type="spellEnd"/>
      <w:r w:rsidR="00AE41C3" w:rsidRPr="00C9790B">
        <w:rPr>
          <w:sz w:val="22"/>
          <w:szCs w:val="22"/>
        </w:rPr>
        <w:t>),</w:t>
      </w:r>
      <w:r w:rsidR="00B738FA" w:rsidRPr="00C9790B">
        <w:rPr>
          <w:sz w:val="22"/>
          <w:szCs w:val="22"/>
        </w:rPr>
        <w:t xml:space="preserve"> </w:t>
      </w:r>
      <w:r w:rsidR="00364918" w:rsidRPr="00C9790B">
        <w:rPr>
          <w:sz w:val="22"/>
          <w:szCs w:val="22"/>
        </w:rPr>
        <w:t xml:space="preserve">których wartość </w:t>
      </w:r>
      <w:r w:rsidR="008176B0" w:rsidRPr="00C9790B">
        <w:rPr>
          <w:sz w:val="22"/>
          <w:szCs w:val="22"/>
        </w:rPr>
        <w:t xml:space="preserve"> </w:t>
      </w:r>
      <w:r w:rsidR="00364918" w:rsidRPr="00C9790B">
        <w:rPr>
          <w:sz w:val="22"/>
          <w:szCs w:val="22"/>
        </w:rPr>
        <w:t xml:space="preserve">jest równa lub wyższa </w:t>
      </w:r>
      <w:r>
        <w:rPr>
          <w:sz w:val="22"/>
          <w:szCs w:val="22"/>
        </w:rPr>
        <w:br/>
      </w:r>
      <w:r w:rsidR="00982F08" w:rsidRPr="00C9790B">
        <w:rPr>
          <w:sz w:val="22"/>
          <w:szCs w:val="22"/>
        </w:rPr>
        <w:t>1 0</w:t>
      </w:r>
      <w:r w:rsidR="00364918" w:rsidRPr="00C9790B">
        <w:rPr>
          <w:sz w:val="22"/>
          <w:szCs w:val="22"/>
        </w:rPr>
        <w:t>00</w:t>
      </w:r>
      <w:r w:rsidR="004D5AA7" w:rsidRPr="00C9790B">
        <w:rPr>
          <w:sz w:val="22"/>
          <w:szCs w:val="22"/>
        </w:rPr>
        <w:t xml:space="preserve"> zł</w:t>
      </w:r>
      <w:r w:rsidR="00364918" w:rsidRPr="00C9790B">
        <w:rPr>
          <w:sz w:val="22"/>
          <w:szCs w:val="22"/>
        </w:rPr>
        <w:t xml:space="preserve"> </w:t>
      </w:r>
      <w:r w:rsidR="008176B0" w:rsidRPr="00C9790B">
        <w:rPr>
          <w:sz w:val="22"/>
          <w:szCs w:val="22"/>
        </w:rPr>
        <w:t>i</w:t>
      </w:r>
      <w:r w:rsidR="00B738FA" w:rsidRPr="00C9790B">
        <w:rPr>
          <w:sz w:val="22"/>
          <w:szCs w:val="22"/>
        </w:rPr>
        <w:t xml:space="preserve"> </w:t>
      </w:r>
      <w:r w:rsidR="00DB0372" w:rsidRPr="00C9790B">
        <w:rPr>
          <w:sz w:val="22"/>
          <w:szCs w:val="22"/>
        </w:rPr>
        <w:t>niższ</w:t>
      </w:r>
      <w:r w:rsidR="00364918" w:rsidRPr="00C9790B">
        <w:rPr>
          <w:sz w:val="22"/>
          <w:szCs w:val="22"/>
        </w:rPr>
        <w:t>a</w:t>
      </w:r>
      <w:r w:rsidR="00DB0372" w:rsidRPr="00C9790B">
        <w:rPr>
          <w:sz w:val="22"/>
          <w:szCs w:val="22"/>
        </w:rPr>
        <w:t xml:space="preserve"> </w:t>
      </w:r>
      <w:r w:rsidR="0024136B" w:rsidRPr="00C9790B">
        <w:rPr>
          <w:sz w:val="22"/>
          <w:szCs w:val="22"/>
        </w:rPr>
        <w:t>niż</w:t>
      </w:r>
      <w:r w:rsidR="00B738FA" w:rsidRPr="00C9790B">
        <w:rPr>
          <w:sz w:val="22"/>
          <w:szCs w:val="22"/>
        </w:rPr>
        <w:t xml:space="preserve"> </w:t>
      </w:r>
      <w:r w:rsidR="00B66E2D" w:rsidRPr="00C9790B">
        <w:rPr>
          <w:sz w:val="22"/>
          <w:szCs w:val="22"/>
        </w:rPr>
        <w:t>10 00</w:t>
      </w:r>
      <w:r w:rsidR="00B738FA" w:rsidRPr="00C9790B">
        <w:rPr>
          <w:sz w:val="22"/>
          <w:szCs w:val="22"/>
        </w:rPr>
        <w:t>0</w:t>
      </w:r>
      <w:r w:rsidR="002F7BB8" w:rsidRPr="00C9790B">
        <w:rPr>
          <w:sz w:val="22"/>
          <w:szCs w:val="22"/>
        </w:rPr>
        <w:t xml:space="preserve"> </w:t>
      </w:r>
      <w:r w:rsidR="00B738FA" w:rsidRPr="00C9790B">
        <w:rPr>
          <w:sz w:val="22"/>
          <w:szCs w:val="22"/>
        </w:rPr>
        <w:t>zł.</w:t>
      </w:r>
    </w:p>
    <w:p w:rsidR="00C9790B" w:rsidRPr="00C9790B" w:rsidRDefault="00B738FA" w:rsidP="003A0683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C9790B">
        <w:rPr>
          <w:sz w:val="22"/>
          <w:szCs w:val="22"/>
        </w:rPr>
        <w:t>Składnik</w:t>
      </w:r>
      <w:r w:rsidR="007E5134" w:rsidRPr="00C9790B">
        <w:rPr>
          <w:sz w:val="22"/>
          <w:szCs w:val="22"/>
        </w:rPr>
        <w:t>i</w:t>
      </w:r>
      <w:r w:rsidRPr="00C9790B">
        <w:rPr>
          <w:sz w:val="22"/>
          <w:szCs w:val="22"/>
        </w:rPr>
        <w:t xml:space="preserve"> majątku o wartości </w:t>
      </w:r>
      <w:r w:rsidR="00DB0372" w:rsidRPr="00C9790B">
        <w:rPr>
          <w:sz w:val="22"/>
          <w:szCs w:val="22"/>
        </w:rPr>
        <w:t xml:space="preserve">niższej </w:t>
      </w:r>
      <w:r w:rsidRPr="00C9790B">
        <w:rPr>
          <w:sz w:val="22"/>
          <w:szCs w:val="22"/>
        </w:rPr>
        <w:t xml:space="preserve">niż </w:t>
      </w:r>
      <w:r w:rsidR="00982F08" w:rsidRPr="00C9790B">
        <w:rPr>
          <w:sz w:val="22"/>
          <w:szCs w:val="22"/>
        </w:rPr>
        <w:t>1 000 zł</w:t>
      </w:r>
      <w:r w:rsidRPr="00C9790B">
        <w:rPr>
          <w:sz w:val="22"/>
          <w:szCs w:val="22"/>
        </w:rPr>
        <w:t xml:space="preserve"> nie </w:t>
      </w:r>
      <w:r w:rsidR="007E5134" w:rsidRPr="00C9790B">
        <w:rPr>
          <w:sz w:val="22"/>
          <w:szCs w:val="22"/>
        </w:rPr>
        <w:t>są</w:t>
      </w:r>
      <w:r w:rsidR="00E673E7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>zalicza</w:t>
      </w:r>
      <w:r w:rsidR="007E5134" w:rsidRPr="00C9790B">
        <w:rPr>
          <w:sz w:val="22"/>
          <w:szCs w:val="22"/>
        </w:rPr>
        <w:t>ne</w:t>
      </w:r>
      <w:r w:rsidRPr="00C9790B">
        <w:rPr>
          <w:sz w:val="22"/>
          <w:szCs w:val="22"/>
        </w:rPr>
        <w:t xml:space="preserve"> do środków tr</w:t>
      </w:r>
      <w:r w:rsidR="007562C1" w:rsidRPr="00C9790B">
        <w:rPr>
          <w:sz w:val="22"/>
          <w:szCs w:val="22"/>
        </w:rPr>
        <w:t>wałych, a do kosztów materiałów</w:t>
      </w:r>
      <w:r w:rsidR="007E5134" w:rsidRPr="00C9790B">
        <w:rPr>
          <w:sz w:val="22"/>
          <w:szCs w:val="22"/>
        </w:rPr>
        <w:t>.</w:t>
      </w:r>
    </w:p>
    <w:p w:rsidR="00683EE8" w:rsidRDefault="002B72BB" w:rsidP="003A0683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9790B">
        <w:rPr>
          <w:sz w:val="22"/>
          <w:szCs w:val="22"/>
        </w:rPr>
        <w:t>Składniki majątku</w:t>
      </w:r>
      <w:r w:rsidR="00683EE8" w:rsidRPr="00C9790B">
        <w:rPr>
          <w:sz w:val="22"/>
          <w:szCs w:val="22"/>
        </w:rPr>
        <w:t xml:space="preserve"> zakupione ze </w:t>
      </w:r>
      <w:r w:rsidR="007562C1" w:rsidRPr="00C9790B">
        <w:rPr>
          <w:sz w:val="22"/>
          <w:szCs w:val="22"/>
        </w:rPr>
        <w:t>środków U</w:t>
      </w:r>
      <w:r w:rsidRPr="00C9790B">
        <w:rPr>
          <w:sz w:val="22"/>
          <w:szCs w:val="22"/>
        </w:rPr>
        <w:t xml:space="preserve">nii </w:t>
      </w:r>
      <w:r w:rsidR="007562C1" w:rsidRPr="00C9790B">
        <w:rPr>
          <w:sz w:val="22"/>
          <w:szCs w:val="22"/>
        </w:rPr>
        <w:t>E</w:t>
      </w:r>
      <w:r w:rsidRPr="00C9790B">
        <w:rPr>
          <w:sz w:val="22"/>
          <w:szCs w:val="22"/>
        </w:rPr>
        <w:t>uropejskiej</w:t>
      </w:r>
      <w:r w:rsidR="001A5B49" w:rsidRPr="00C9790B">
        <w:rPr>
          <w:sz w:val="22"/>
          <w:szCs w:val="22"/>
        </w:rPr>
        <w:t xml:space="preserve"> </w:t>
      </w:r>
      <w:r w:rsidR="00C53DF8" w:rsidRPr="00C9790B">
        <w:rPr>
          <w:sz w:val="22"/>
          <w:szCs w:val="22"/>
        </w:rPr>
        <w:t>(</w:t>
      </w:r>
      <w:r w:rsidR="001A5B49" w:rsidRPr="00C9790B">
        <w:rPr>
          <w:sz w:val="22"/>
          <w:szCs w:val="22"/>
        </w:rPr>
        <w:t>lub innych zewnętrznych</w:t>
      </w:r>
      <w:r w:rsidR="00C53DF8" w:rsidRPr="00C9790B">
        <w:rPr>
          <w:sz w:val="22"/>
          <w:szCs w:val="22"/>
        </w:rPr>
        <w:t>, jeżeli tak</w:t>
      </w:r>
      <w:r w:rsidR="00177DF9" w:rsidRPr="00C9790B">
        <w:rPr>
          <w:sz w:val="22"/>
          <w:szCs w:val="22"/>
        </w:rPr>
        <w:t xml:space="preserve"> </w:t>
      </w:r>
      <w:r w:rsidR="00C9790B">
        <w:rPr>
          <w:sz w:val="22"/>
          <w:szCs w:val="22"/>
        </w:rPr>
        <w:t xml:space="preserve">stanowią </w:t>
      </w:r>
      <w:r w:rsidR="00C53DF8" w:rsidRPr="00C9790B">
        <w:rPr>
          <w:sz w:val="22"/>
          <w:szCs w:val="22"/>
        </w:rPr>
        <w:t>zapisy umowy)</w:t>
      </w:r>
      <w:r w:rsidR="00683EE8" w:rsidRPr="00C9790B">
        <w:rPr>
          <w:sz w:val="22"/>
          <w:szCs w:val="22"/>
        </w:rPr>
        <w:t xml:space="preserve">, </w:t>
      </w:r>
      <w:r w:rsidR="007E5134" w:rsidRPr="00C9790B">
        <w:rPr>
          <w:sz w:val="22"/>
          <w:szCs w:val="22"/>
        </w:rPr>
        <w:t>dzielą się na</w:t>
      </w:r>
      <w:r w:rsidR="00683EE8" w:rsidRPr="00C9790B">
        <w:rPr>
          <w:sz w:val="22"/>
          <w:szCs w:val="22"/>
        </w:rPr>
        <w:t>:</w:t>
      </w:r>
    </w:p>
    <w:p w:rsidR="00683EE8" w:rsidRDefault="00C9790B" w:rsidP="003A0683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="00683EE8" w:rsidRPr="00C9790B">
        <w:rPr>
          <w:sz w:val="22"/>
          <w:szCs w:val="22"/>
        </w:rPr>
        <w:t>r</w:t>
      </w:r>
      <w:r w:rsidR="00177DF9" w:rsidRPr="00C9790B">
        <w:rPr>
          <w:sz w:val="22"/>
          <w:szCs w:val="22"/>
        </w:rPr>
        <w:t>od</w:t>
      </w:r>
      <w:r w:rsidR="00683EE8" w:rsidRPr="00C9790B">
        <w:rPr>
          <w:sz w:val="22"/>
          <w:szCs w:val="22"/>
        </w:rPr>
        <w:t>ki trwałe</w:t>
      </w:r>
      <w:r w:rsidR="007E5134" w:rsidRPr="00C9790B">
        <w:rPr>
          <w:sz w:val="22"/>
          <w:szCs w:val="22"/>
        </w:rPr>
        <w:t xml:space="preserve"> o wartości</w:t>
      </w:r>
      <w:r w:rsidR="00683EE8" w:rsidRPr="00C9790B">
        <w:rPr>
          <w:sz w:val="22"/>
          <w:szCs w:val="22"/>
        </w:rPr>
        <w:t xml:space="preserve"> początkowej </w:t>
      </w:r>
      <w:r w:rsidR="00C53DF8" w:rsidRPr="00C9790B">
        <w:rPr>
          <w:sz w:val="22"/>
          <w:szCs w:val="22"/>
        </w:rPr>
        <w:t>od</w:t>
      </w:r>
      <w:r w:rsidR="00683EE8" w:rsidRPr="00C9790B">
        <w:rPr>
          <w:sz w:val="22"/>
          <w:szCs w:val="22"/>
        </w:rPr>
        <w:t xml:space="preserve"> kwoty </w:t>
      </w:r>
      <w:r w:rsidR="00B66E2D" w:rsidRPr="00C9790B">
        <w:rPr>
          <w:sz w:val="22"/>
          <w:szCs w:val="22"/>
        </w:rPr>
        <w:t>10 0</w:t>
      </w:r>
      <w:r w:rsidR="00683EE8" w:rsidRPr="00C9790B">
        <w:rPr>
          <w:sz w:val="22"/>
          <w:szCs w:val="22"/>
        </w:rPr>
        <w:t>00</w:t>
      </w:r>
      <w:r w:rsidR="002F7BB8" w:rsidRPr="00C9790B">
        <w:rPr>
          <w:sz w:val="22"/>
          <w:szCs w:val="22"/>
        </w:rPr>
        <w:t xml:space="preserve"> </w:t>
      </w:r>
      <w:r w:rsidR="00683EE8" w:rsidRPr="00C9790B">
        <w:rPr>
          <w:sz w:val="22"/>
          <w:szCs w:val="22"/>
        </w:rPr>
        <w:t>zł</w:t>
      </w:r>
      <w:r w:rsidR="007E5134" w:rsidRPr="00C9790B">
        <w:rPr>
          <w:sz w:val="22"/>
          <w:szCs w:val="22"/>
        </w:rPr>
        <w:t>,</w:t>
      </w:r>
    </w:p>
    <w:p w:rsidR="00683EE8" w:rsidRDefault="00C9790B" w:rsidP="003A0683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="00683EE8" w:rsidRPr="00C9790B">
        <w:rPr>
          <w:sz w:val="22"/>
          <w:szCs w:val="22"/>
        </w:rPr>
        <w:t xml:space="preserve">rodki trwałe </w:t>
      </w:r>
      <w:proofErr w:type="spellStart"/>
      <w:r w:rsidR="00683EE8" w:rsidRPr="00C9790B">
        <w:rPr>
          <w:sz w:val="22"/>
          <w:szCs w:val="22"/>
        </w:rPr>
        <w:t>niskocenne</w:t>
      </w:r>
      <w:proofErr w:type="spellEnd"/>
      <w:r w:rsidR="00683EE8" w:rsidRPr="00C9790B">
        <w:rPr>
          <w:sz w:val="22"/>
          <w:szCs w:val="22"/>
        </w:rPr>
        <w:t xml:space="preserve"> o wartości początkowej mniejszej</w:t>
      </w:r>
      <w:r w:rsidR="00C53DF8" w:rsidRPr="00C9790B">
        <w:rPr>
          <w:sz w:val="22"/>
          <w:szCs w:val="22"/>
        </w:rPr>
        <w:t xml:space="preserve"> niż </w:t>
      </w:r>
      <w:r w:rsidR="00B66E2D" w:rsidRPr="00C9790B">
        <w:rPr>
          <w:sz w:val="22"/>
          <w:szCs w:val="22"/>
        </w:rPr>
        <w:t>10 0</w:t>
      </w:r>
      <w:r w:rsidR="00683EE8" w:rsidRPr="00C9790B">
        <w:rPr>
          <w:sz w:val="22"/>
          <w:szCs w:val="22"/>
        </w:rPr>
        <w:t>00</w:t>
      </w:r>
      <w:r w:rsidR="002F7BB8" w:rsidRPr="00C9790B">
        <w:rPr>
          <w:sz w:val="22"/>
          <w:szCs w:val="22"/>
        </w:rPr>
        <w:t xml:space="preserve"> </w:t>
      </w:r>
      <w:r w:rsidR="00683EE8" w:rsidRPr="00C9790B">
        <w:rPr>
          <w:sz w:val="22"/>
          <w:szCs w:val="22"/>
        </w:rPr>
        <w:t>zł</w:t>
      </w:r>
      <w:r w:rsidR="007E5134" w:rsidRPr="00C9790B">
        <w:rPr>
          <w:sz w:val="22"/>
          <w:szCs w:val="22"/>
        </w:rPr>
        <w:t>.</w:t>
      </w:r>
    </w:p>
    <w:p w:rsidR="00B738FA" w:rsidRDefault="00B738FA" w:rsidP="003A0683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C9790B">
        <w:rPr>
          <w:sz w:val="22"/>
          <w:szCs w:val="22"/>
        </w:rPr>
        <w:t>Sprzęt komputerowy</w:t>
      </w:r>
      <w:r w:rsidR="006D3C08" w:rsidRPr="00C9790B">
        <w:rPr>
          <w:sz w:val="22"/>
          <w:szCs w:val="22"/>
        </w:rPr>
        <w:t xml:space="preserve"> wraz z niezbędnym oprogramowaniem </w:t>
      </w:r>
      <w:r w:rsidRPr="00C9790B">
        <w:rPr>
          <w:sz w:val="22"/>
          <w:szCs w:val="22"/>
        </w:rPr>
        <w:t>podlega ewidencji jako</w:t>
      </w:r>
      <w:r w:rsid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>zestaw</w:t>
      </w:r>
      <w:r w:rsidR="00DD130F" w:rsidRPr="00C9790B">
        <w:rPr>
          <w:sz w:val="22"/>
          <w:szCs w:val="22"/>
        </w:rPr>
        <w:t xml:space="preserve"> </w:t>
      </w:r>
      <w:r w:rsidR="006A0F43" w:rsidRPr="00C9790B">
        <w:rPr>
          <w:sz w:val="22"/>
          <w:szCs w:val="22"/>
        </w:rPr>
        <w:t>k</w:t>
      </w:r>
      <w:r w:rsidRPr="00C9790B">
        <w:rPr>
          <w:sz w:val="22"/>
          <w:szCs w:val="22"/>
        </w:rPr>
        <w:t>omputerowy.</w:t>
      </w:r>
      <w:r w:rsidR="00E673E7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>Wyjątek stanowi drukarka komputerowa</w:t>
      </w:r>
      <w:r w:rsidR="00477909" w:rsidRPr="00C9790B">
        <w:rPr>
          <w:sz w:val="22"/>
          <w:szCs w:val="22"/>
        </w:rPr>
        <w:t xml:space="preserve">, </w:t>
      </w:r>
      <w:r w:rsidR="00517BFC" w:rsidRPr="00C9790B">
        <w:rPr>
          <w:sz w:val="22"/>
          <w:szCs w:val="22"/>
        </w:rPr>
        <w:t>monitor</w:t>
      </w:r>
      <w:r w:rsidRPr="00C9790B">
        <w:rPr>
          <w:sz w:val="22"/>
          <w:szCs w:val="22"/>
        </w:rPr>
        <w:t>,</w:t>
      </w:r>
      <w:r w:rsidR="00477909" w:rsidRPr="00C9790B">
        <w:rPr>
          <w:sz w:val="22"/>
          <w:szCs w:val="22"/>
        </w:rPr>
        <w:t xml:space="preserve"> skaner itp., </w:t>
      </w:r>
      <w:r w:rsidR="00DD130F" w:rsidRPr="00C9790B">
        <w:rPr>
          <w:sz w:val="22"/>
          <w:szCs w:val="22"/>
        </w:rPr>
        <w:t>k</w:t>
      </w:r>
      <w:r w:rsidRPr="00C9790B">
        <w:rPr>
          <w:sz w:val="22"/>
          <w:szCs w:val="22"/>
        </w:rPr>
        <w:t>tór</w:t>
      </w:r>
      <w:r w:rsidR="00517BFC" w:rsidRPr="00C9790B">
        <w:rPr>
          <w:sz w:val="22"/>
          <w:szCs w:val="22"/>
        </w:rPr>
        <w:t>e</w:t>
      </w:r>
      <w:r w:rsidR="00E673E7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>współpracuj</w:t>
      </w:r>
      <w:r w:rsidR="00517BFC" w:rsidRPr="00C9790B">
        <w:rPr>
          <w:sz w:val="22"/>
          <w:szCs w:val="22"/>
        </w:rPr>
        <w:t>ą</w:t>
      </w:r>
      <w:r w:rsidRPr="00C9790B">
        <w:rPr>
          <w:sz w:val="22"/>
          <w:szCs w:val="22"/>
        </w:rPr>
        <w:t xml:space="preserve"> </w:t>
      </w:r>
      <w:r w:rsidR="00C9790B">
        <w:rPr>
          <w:sz w:val="22"/>
          <w:szCs w:val="22"/>
        </w:rPr>
        <w:br/>
      </w:r>
      <w:r w:rsidRPr="00C9790B">
        <w:rPr>
          <w:sz w:val="22"/>
          <w:szCs w:val="22"/>
        </w:rPr>
        <w:t>z różnymi k</w:t>
      </w:r>
      <w:r w:rsidR="00517BFC" w:rsidRPr="00C9790B">
        <w:rPr>
          <w:sz w:val="22"/>
          <w:szCs w:val="22"/>
        </w:rPr>
        <w:t xml:space="preserve">omputerami </w:t>
      </w:r>
      <w:r w:rsidR="00477909" w:rsidRPr="00C9790B">
        <w:rPr>
          <w:sz w:val="22"/>
          <w:szCs w:val="22"/>
        </w:rPr>
        <w:t xml:space="preserve">lub innymi urządzeniami </w:t>
      </w:r>
      <w:r w:rsidR="00517BFC" w:rsidRPr="00C9790B">
        <w:rPr>
          <w:sz w:val="22"/>
          <w:szCs w:val="22"/>
        </w:rPr>
        <w:t xml:space="preserve">i nie </w:t>
      </w:r>
      <w:r w:rsidR="00477909" w:rsidRPr="00C9790B">
        <w:rPr>
          <w:sz w:val="22"/>
          <w:szCs w:val="22"/>
        </w:rPr>
        <w:t xml:space="preserve">są </w:t>
      </w:r>
      <w:r w:rsidR="00517BFC" w:rsidRPr="00C9790B">
        <w:rPr>
          <w:sz w:val="22"/>
          <w:szCs w:val="22"/>
        </w:rPr>
        <w:t>przypisane</w:t>
      </w:r>
      <w:r w:rsidR="00E673E7" w:rsidRPr="00C9790B">
        <w:rPr>
          <w:sz w:val="22"/>
          <w:szCs w:val="22"/>
        </w:rPr>
        <w:t xml:space="preserve"> w</w:t>
      </w:r>
      <w:r w:rsidRPr="00C9790B">
        <w:rPr>
          <w:sz w:val="22"/>
          <w:szCs w:val="22"/>
        </w:rPr>
        <w:t>yłącznie do jednego</w:t>
      </w:r>
      <w:r w:rsidR="00DD130F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>zestawu komputerowego</w:t>
      </w:r>
      <w:r w:rsidR="00477909" w:rsidRPr="00C9790B">
        <w:rPr>
          <w:sz w:val="22"/>
          <w:szCs w:val="22"/>
        </w:rPr>
        <w:t xml:space="preserve"> lub urządzenia</w:t>
      </w:r>
      <w:r w:rsidRPr="00C9790B">
        <w:rPr>
          <w:sz w:val="22"/>
          <w:szCs w:val="22"/>
        </w:rPr>
        <w:t>,</w:t>
      </w:r>
      <w:r w:rsidR="00DD130F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>stanowi</w:t>
      </w:r>
      <w:r w:rsidR="00517BFC" w:rsidRPr="00C9790B">
        <w:rPr>
          <w:sz w:val="22"/>
          <w:szCs w:val="22"/>
        </w:rPr>
        <w:t>ą</w:t>
      </w:r>
      <w:r w:rsidRPr="00C9790B">
        <w:rPr>
          <w:sz w:val="22"/>
          <w:szCs w:val="22"/>
        </w:rPr>
        <w:t xml:space="preserve"> </w:t>
      </w:r>
      <w:r w:rsidR="00E673E7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>samodzielny środek trwały.</w:t>
      </w:r>
    </w:p>
    <w:p w:rsidR="00B738FA" w:rsidRPr="00C9790B" w:rsidRDefault="00B738FA" w:rsidP="003A0683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C9790B">
        <w:rPr>
          <w:sz w:val="22"/>
          <w:szCs w:val="22"/>
        </w:rPr>
        <w:t>Drukarka komputerowa, która współpracuje tylko z jednym komputerem stanowi jego</w:t>
      </w:r>
      <w:r w:rsidR="00DD130F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 xml:space="preserve">część </w:t>
      </w:r>
      <w:r w:rsidR="00E673E7" w:rsidRPr="00C9790B">
        <w:rPr>
          <w:sz w:val="22"/>
          <w:szCs w:val="22"/>
        </w:rPr>
        <w:t>p</w:t>
      </w:r>
      <w:r w:rsidRPr="00C9790B">
        <w:rPr>
          <w:sz w:val="22"/>
          <w:szCs w:val="22"/>
        </w:rPr>
        <w:t>eryferyjną.</w:t>
      </w:r>
    </w:p>
    <w:p w:rsidR="00B738FA" w:rsidRPr="00DF686A" w:rsidRDefault="00B738FA" w:rsidP="00DF686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738FA" w:rsidRDefault="00C9790B" w:rsidP="00C32FFA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C32FF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</w:t>
      </w:r>
    </w:p>
    <w:p w:rsidR="00056D01" w:rsidRPr="00C9790B" w:rsidRDefault="00B738FA" w:rsidP="003A0683">
      <w:pPr>
        <w:pStyle w:val="Akapitzlist"/>
        <w:numPr>
          <w:ilvl w:val="0"/>
          <w:numId w:val="20"/>
        </w:numPr>
        <w:shd w:val="clear" w:color="auto" w:fill="FFFFFF"/>
        <w:jc w:val="both"/>
        <w:rPr>
          <w:bCs/>
          <w:sz w:val="22"/>
          <w:szCs w:val="22"/>
        </w:rPr>
      </w:pPr>
      <w:r w:rsidRPr="00C9790B">
        <w:rPr>
          <w:sz w:val="22"/>
          <w:szCs w:val="22"/>
        </w:rPr>
        <w:t>Źródłem finansowania zakupu środków trwałych jest</w:t>
      </w:r>
      <w:r w:rsidR="00047E5A" w:rsidRPr="00C9790B">
        <w:rPr>
          <w:sz w:val="22"/>
          <w:szCs w:val="22"/>
        </w:rPr>
        <w:t>:</w:t>
      </w:r>
      <w:r w:rsidRPr="00C9790B">
        <w:rPr>
          <w:sz w:val="22"/>
          <w:szCs w:val="22"/>
        </w:rPr>
        <w:t xml:space="preserve"> fundusz zasadniczy Uczelni</w:t>
      </w:r>
      <w:r w:rsidR="00047E5A" w:rsidRPr="00C9790B">
        <w:rPr>
          <w:sz w:val="22"/>
          <w:szCs w:val="22"/>
        </w:rPr>
        <w:t xml:space="preserve">, </w:t>
      </w:r>
      <w:r w:rsidR="00C9790B">
        <w:rPr>
          <w:sz w:val="22"/>
          <w:szCs w:val="22"/>
        </w:rPr>
        <w:t>subwencja</w:t>
      </w:r>
      <w:r w:rsidR="00ED102E" w:rsidRPr="00C9790B">
        <w:rPr>
          <w:sz w:val="22"/>
          <w:szCs w:val="22"/>
        </w:rPr>
        <w:t xml:space="preserve"> </w:t>
      </w:r>
      <w:r w:rsidR="00C9790B">
        <w:rPr>
          <w:sz w:val="22"/>
          <w:szCs w:val="22"/>
        </w:rPr>
        <w:br/>
      </w:r>
      <w:r w:rsidR="00ED102E" w:rsidRPr="00C9790B">
        <w:rPr>
          <w:sz w:val="22"/>
          <w:szCs w:val="22"/>
        </w:rPr>
        <w:t xml:space="preserve">na utrzymanie i rozwój potencjału dydaktycznego oraz badawczego, </w:t>
      </w:r>
      <w:r w:rsidRPr="00C9790B">
        <w:rPr>
          <w:sz w:val="22"/>
          <w:szCs w:val="22"/>
        </w:rPr>
        <w:t xml:space="preserve">środki </w:t>
      </w:r>
      <w:r w:rsidR="006440D3" w:rsidRPr="00C9790B">
        <w:rPr>
          <w:sz w:val="22"/>
          <w:szCs w:val="22"/>
        </w:rPr>
        <w:t xml:space="preserve">Unii Europejskiej, </w:t>
      </w:r>
      <w:r w:rsidR="00E16B18" w:rsidRPr="00C9790B">
        <w:rPr>
          <w:sz w:val="22"/>
          <w:szCs w:val="22"/>
        </w:rPr>
        <w:t xml:space="preserve">dotacje </w:t>
      </w:r>
      <w:r w:rsidR="00C9790B">
        <w:rPr>
          <w:sz w:val="22"/>
          <w:szCs w:val="22"/>
        </w:rPr>
        <w:br/>
      </w:r>
      <w:r w:rsidR="00E16B18" w:rsidRPr="00C9790B">
        <w:rPr>
          <w:sz w:val="22"/>
          <w:szCs w:val="22"/>
        </w:rPr>
        <w:t>i fundusze celowe</w:t>
      </w:r>
      <w:r w:rsidR="00047E5A" w:rsidRPr="00C9790B">
        <w:rPr>
          <w:sz w:val="22"/>
          <w:szCs w:val="22"/>
        </w:rPr>
        <w:t xml:space="preserve"> </w:t>
      </w:r>
      <w:r w:rsidR="00E16B18" w:rsidRPr="00C9790B">
        <w:rPr>
          <w:sz w:val="22"/>
          <w:szCs w:val="22"/>
        </w:rPr>
        <w:t>oraz inne środki otrzymywane przez Uczelnię na podstawie odrębnych umów.</w:t>
      </w:r>
      <w:r w:rsidR="00DF37C0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 xml:space="preserve">Zakup danego środka trwałego nie powinien być finansowany z różnych źródeł. </w:t>
      </w:r>
    </w:p>
    <w:p w:rsidR="007B7261" w:rsidRPr="00C9790B" w:rsidRDefault="00B738FA" w:rsidP="003A0683">
      <w:pPr>
        <w:pStyle w:val="Akapitzlist"/>
        <w:numPr>
          <w:ilvl w:val="0"/>
          <w:numId w:val="20"/>
        </w:numPr>
        <w:shd w:val="clear" w:color="auto" w:fill="FFFFFF"/>
        <w:jc w:val="both"/>
        <w:rPr>
          <w:bCs/>
          <w:sz w:val="22"/>
          <w:szCs w:val="22"/>
        </w:rPr>
      </w:pPr>
      <w:r w:rsidRPr="00C9790B">
        <w:rPr>
          <w:sz w:val="22"/>
          <w:szCs w:val="22"/>
        </w:rPr>
        <w:t xml:space="preserve">W uzasadnionych przypadkach Rektor może wyrazić zgodę na odstąpienie od  zasady, o której mowa </w:t>
      </w:r>
      <w:r w:rsidR="00C9790B">
        <w:rPr>
          <w:sz w:val="22"/>
          <w:szCs w:val="22"/>
        </w:rPr>
        <w:br/>
      </w:r>
      <w:r w:rsidRPr="00C9790B">
        <w:rPr>
          <w:sz w:val="22"/>
          <w:szCs w:val="22"/>
        </w:rPr>
        <w:t>w zdaniu poprzednim.</w:t>
      </w:r>
      <w:r w:rsidR="00DD130F" w:rsidRPr="00C9790B">
        <w:rPr>
          <w:sz w:val="22"/>
          <w:szCs w:val="22"/>
        </w:rPr>
        <w:t xml:space="preserve"> </w:t>
      </w:r>
      <w:r w:rsidR="007B7261" w:rsidRPr="00C9790B">
        <w:rPr>
          <w:sz w:val="22"/>
          <w:szCs w:val="22"/>
        </w:rPr>
        <w:t>Uczelnia może pozyskiwać środki trwałe również w drodze darowizn.</w:t>
      </w:r>
    </w:p>
    <w:p w:rsidR="003B3403" w:rsidRPr="00DF686A" w:rsidRDefault="003B3403" w:rsidP="00DF686A">
      <w:pPr>
        <w:shd w:val="clear" w:color="auto" w:fill="FFFFFF"/>
        <w:ind w:left="3540" w:firstLine="708"/>
        <w:jc w:val="both"/>
        <w:rPr>
          <w:bCs/>
          <w:sz w:val="22"/>
          <w:szCs w:val="22"/>
        </w:rPr>
      </w:pPr>
    </w:p>
    <w:p w:rsidR="005A22D3" w:rsidRPr="00DF686A" w:rsidRDefault="00B738FA" w:rsidP="00C32FFA">
      <w:pPr>
        <w:shd w:val="clear" w:color="auto" w:fill="FFFFFF"/>
        <w:jc w:val="center"/>
        <w:rPr>
          <w:sz w:val="22"/>
          <w:szCs w:val="22"/>
        </w:rPr>
      </w:pPr>
      <w:r w:rsidRPr="00DF686A">
        <w:rPr>
          <w:bCs/>
          <w:sz w:val="22"/>
          <w:szCs w:val="22"/>
        </w:rPr>
        <w:t>§</w:t>
      </w:r>
      <w:r w:rsidR="00C32FFA">
        <w:rPr>
          <w:bCs/>
          <w:sz w:val="22"/>
          <w:szCs w:val="22"/>
        </w:rPr>
        <w:t xml:space="preserve"> </w:t>
      </w:r>
      <w:r w:rsidRPr="00DF686A">
        <w:rPr>
          <w:bCs/>
          <w:sz w:val="22"/>
          <w:szCs w:val="22"/>
        </w:rPr>
        <w:t>6</w:t>
      </w:r>
    </w:p>
    <w:p w:rsidR="00104CFF" w:rsidRPr="00DF686A" w:rsidRDefault="00104CFF" w:rsidP="003A0683">
      <w:pPr>
        <w:pStyle w:val="Akapitzlist"/>
        <w:numPr>
          <w:ilvl w:val="0"/>
          <w:numId w:val="21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Ewidencję środków trwałych w Uczelni prowadzą:</w:t>
      </w:r>
    </w:p>
    <w:p w:rsidR="00952812" w:rsidRDefault="00C9790B" w:rsidP="003A068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F73DF" w:rsidRPr="00C9790B">
        <w:rPr>
          <w:sz w:val="22"/>
          <w:szCs w:val="22"/>
        </w:rPr>
        <w:t xml:space="preserve">soby </w:t>
      </w:r>
      <w:r w:rsidR="00742F8D" w:rsidRPr="00C9790B">
        <w:rPr>
          <w:sz w:val="22"/>
          <w:szCs w:val="22"/>
        </w:rPr>
        <w:t xml:space="preserve">materialnie </w:t>
      </w:r>
      <w:r w:rsidR="008F73DF" w:rsidRPr="00C9790B">
        <w:rPr>
          <w:sz w:val="22"/>
          <w:szCs w:val="22"/>
        </w:rPr>
        <w:t>odpowiedzialne</w:t>
      </w:r>
      <w:r w:rsidR="00742F8D" w:rsidRPr="00C9790B">
        <w:rPr>
          <w:sz w:val="22"/>
          <w:szCs w:val="22"/>
        </w:rPr>
        <w:t xml:space="preserve"> </w:t>
      </w:r>
      <w:r w:rsidR="00B738FA" w:rsidRPr="00C9790B">
        <w:rPr>
          <w:sz w:val="22"/>
          <w:szCs w:val="22"/>
        </w:rPr>
        <w:t>w księgach inwentarzowych</w:t>
      </w:r>
      <w:r w:rsidR="00927665" w:rsidRPr="00C9790B">
        <w:rPr>
          <w:sz w:val="22"/>
          <w:szCs w:val="22"/>
        </w:rPr>
        <w:t>: „</w:t>
      </w:r>
      <w:r w:rsidR="00952812" w:rsidRPr="00C9790B">
        <w:rPr>
          <w:sz w:val="22"/>
          <w:szCs w:val="22"/>
        </w:rPr>
        <w:t>Ś</w:t>
      </w:r>
      <w:r w:rsidR="00927665" w:rsidRPr="00C9790B">
        <w:rPr>
          <w:sz w:val="22"/>
          <w:szCs w:val="22"/>
        </w:rPr>
        <w:t>rodków</w:t>
      </w:r>
      <w:r w:rsidR="00DD130F" w:rsidRPr="00C9790B">
        <w:rPr>
          <w:sz w:val="22"/>
          <w:szCs w:val="22"/>
        </w:rPr>
        <w:t xml:space="preserve"> </w:t>
      </w:r>
      <w:r w:rsidR="00927665" w:rsidRPr="00C9790B">
        <w:rPr>
          <w:sz w:val="22"/>
          <w:szCs w:val="22"/>
        </w:rPr>
        <w:t>trwałych</w:t>
      </w:r>
      <w:r w:rsidR="00E8120E" w:rsidRPr="00C9790B">
        <w:rPr>
          <w:sz w:val="22"/>
          <w:szCs w:val="22"/>
        </w:rPr>
        <w:t xml:space="preserve"> </w:t>
      </w:r>
      <w:r w:rsidR="00927665" w:rsidRPr="00C9790B">
        <w:rPr>
          <w:sz w:val="22"/>
          <w:szCs w:val="22"/>
        </w:rPr>
        <w:t>amortyzowanych w czasie”</w:t>
      </w:r>
      <w:r w:rsidR="00C32FFA">
        <w:rPr>
          <w:sz w:val="22"/>
          <w:szCs w:val="22"/>
        </w:rPr>
        <w:t xml:space="preserve"> – </w:t>
      </w:r>
      <w:r w:rsidR="00927665" w:rsidRPr="00C9790B">
        <w:rPr>
          <w:sz w:val="22"/>
          <w:szCs w:val="22"/>
        </w:rPr>
        <w:t xml:space="preserve">dla środków trwałych o jednostkowej wartości początkowej </w:t>
      </w:r>
      <w:r w:rsidR="00A81A8F" w:rsidRPr="00C9790B">
        <w:rPr>
          <w:sz w:val="22"/>
          <w:szCs w:val="22"/>
        </w:rPr>
        <w:t>od</w:t>
      </w:r>
      <w:r w:rsidR="00927665" w:rsidRPr="00C9790B">
        <w:rPr>
          <w:sz w:val="22"/>
          <w:szCs w:val="22"/>
        </w:rPr>
        <w:t xml:space="preserve"> </w:t>
      </w:r>
      <w:r w:rsidR="00ED102E" w:rsidRPr="00C9790B">
        <w:rPr>
          <w:sz w:val="22"/>
          <w:szCs w:val="22"/>
        </w:rPr>
        <w:t>10 000</w:t>
      </w:r>
      <w:r w:rsidR="00742F8D" w:rsidRPr="00C9790B">
        <w:rPr>
          <w:sz w:val="22"/>
          <w:szCs w:val="22"/>
        </w:rPr>
        <w:t xml:space="preserve"> </w:t>
      </w:r>
      <w:r w:rsidR="00927665" w:rsidRPr="00C9790B">
        <w:rPr>
          <w:sz w:val="22"/>
          <w:szCs w:val="22"/>
        </w:rPr>
        <w:t>zł; „</w:t>
      </w:r>
      <w:r w:rsidR="00952812" w:rsidRPr="00C9790B">
        <w:rPr>
          <w:sz w:val="22"/>
          <w:szCs w:val="22"/>
        </w:rPr>
        <w:t>Ś</w:t>
      </w:r>
      <w:r w:rsidR="00927665" w:rsidRPr="00C9790B">
        <w:rPr>
          <w:sz w:val="22"/>
          <w:szCs w:val="22"/>
        </w:rPr>
        <w:t xml:space="preserve">rodków trwałych </w:t>
      </w:r>
      <w:proofErr w:type="spellStart"/>
      <w:r w:rsidR="00927665" w:rsidRPr="00C9790B">
        <w:rPr>
          <w:sz w:val="22"/>
          <w:szCs w:val="22"/>
        </w:rPr>
        <w:t>niskocennych</w:t>
      </w:r>
      <w:proofErr w:type="spellEnd"/>
      <w:r w:rsidR="00927665" w:rsidRPr="00C9790B">
        <w:rPr>
          <w:sz w:val="22"/>
          <w:szCs w:val="22"/>
        </w:rPr>
        <w:t>"</w:t>
      </w:r>
      <w:r w:rsidR="00C32FFA">
        <w:rPr>
          <w:sz w:val="22"/>
          <w:szCs w:val="22"/>
        </w:rPr>
        <w:t xml:space="preserve"> – </w:t>
      </w:r>
      <w:r w:rsidR="00952812" w:rsidRPr="00C9790B">
        <w:rPr>
          <w:sz w:val="22"/>
          <w:szCs w:val="22"/>
        </w:rPr>
        <w:t xml:space="preserve">dla środków trwałych o jednostkowej wartości równej </w:t>
      </w:r>
      <w:r>
        <w:rPr>
          <w:sz w:val="22"/>
          <w:szCs w:val="22"/>
        </w:rPr>
        <w:br/>
      </w:r>
      <w:r w:rsidR="00952812" w:rsidRPr="00C9790B">
        <w:rPr>
          <w:sz w:val="22"/>
          <w:szCs w:val="22"/>
        </w:rPr>
        <w:t xml:space="preserve">lub wyższej niż </w:t>
      </w:r>
      <w:r w:rsidR="00982F08" w:rsidRPr="00C9790B">
        <w:rPr>
          <w:sz w:val="22"/>
          <w:szCs w:val="22"/>
        </w:rPr>
        <w:t>1 0</w:t>
      </w:r>
      <w:r w:rsidR="00952812" w:rsidRPr="00C9790B">
        <w:rPr>
          <w:sz w:val="22"/>
          <w:szCs w:val="22"/>
        </w:rPr>
        <w:t>00</w:t>
      </w:r>
      <w:r w:rsidR="00742F8D" w:rsidRPr="00C9790B">
        <w:rPr>
          <w:sz w:val="22"/>
          <w:szCs w:val="22"/>
        </w:rPr>
        <w:t xml:space="preserve"> </w:t>
      </w:r>
      <w:r w:rsidR="00952812" w:rsidRPr="00C9790B">
        <w:rPr>
          <w:sz w:val="22"/>
          <w:szCs w:val="22"/>
        </w:rPr>
        <w:t xml:space="preserve">zł (z wyjątkiem </w:t>
      </w:r>
      <w:r w:rsidR="00952812" w:rsidRPr="00C9790B">
        <w:rPr>
          <w:b/>
          <w:bCs/>
          <w:sz w:val="22"/>
          <w:szCs w:val="22"/>
        </w:rPr>
        <w:t>§</w:t>
      </w:r>
      <w:r w:rsidR="00952812" w:rsidRPr="00C9790B">
        <w:rPr>
          <w:sz w:val="22"/>
          <w:szCs w:val="22"/>
        </w:rPr>
        <w:t xml:space="preserve"> 4, pkt </w:t>
      </w:r>
      <w:r w:rsidR="00B00478" w:rsidRPr="00C9790B">
        <w:rPr>
          <w:sz w:val="22"/>
          <w:szCs w:val="22"/>
        </w:rPr>
        <w:t>3)</w:t>
      </w:r>
      <w:r w:rsidR="00952812" w:rsidRPr="00C9790B">
        <w:rPr>
          <w:sz w:val="22"/>
          <w:szCs w:val="22"/>
        </w:rPr>
        <w:t xml:space="preserve"> i niższej</w:t>
      </w:r>
      <w:r w:rsidR="007F3CA5" w:rsidRPr="00C9790B">
        <w:rPr>
          <w:sz w:val="22"/>
          <w:szCs w:val="22"/>
        </w:rPr>
        <w:t xml:space="preserve"> </w:t>
      </w:r>
      <w:r>
        <w:rPr>
          <w:sz w:val="22"/>
          <w:szCs w:val="22"/>
        </w:rPr>
        <w:t>niż</w:t>
      </w:r>
      <w:r w:rsidR="007F3CA5" w:rsidRPr="00C9790B">
        <w:rPr>
          <w:sz w:val="22"/>
          <w:szCs w:val="22"/>
        </w:rPr>
        <w:t xml:space="preserve"> </w:t>
      </w:r>
      <w:r w:rsidR="00C00FA1" w:rsidRPr="00C9790B">
        <w:rPr>
          <w:sz w:val="22"/>
          <w:szCs w:val="22"/>
        </w:rPr>
        <w:t>10 0</w:t>
      </w:r>
      <w:r w:rsidR="00952812" w:rsidRPr="00C9790B">
        <w:rPr>
          <w:sz w:val="22"/>
          <w:szCs w:val="22"/>
        </w:rPr>
        <w:t>00</w:t>
      </w:r>
      <w:r w:rsidR="00742F8D" w:rsidRPr="00C9790B">
        <w:rPr>
          <w:sz w:val="22"/>
          <w:szCs w:val="22"/>
        </w:rPr>
        <w:t xml:space="preserve"> </w:t>
      </w:r>
      <w:r w:rsidR="00C32FFA">
        <w:rPr>
          <w:sz w:val="22"/>
          <w:szCs w:val="22"/>
        </w:rPr>
        <w:t xml:space="preserve">zł;  „Ewidencja ilościowa” – </w:t>
      </w:r>
      <w:r w:rsidR="00021CF4" w:rsidRPr="00C9790B">
        <w:rPr>
          <w:sz w:val="22"/>
          <w:szCs w:val="22"/>
        </w:rPr>
        <w:t xml:space="preserve"> </w:t>
      </w:r>
      <w:r w:rsidR="00952812" w:rsidRPr="00C9790B">
        <w:rPr>
          <w:sz w:val="22"/>
          <w:szCs w:val="22"/>
        </w:rPr>
        <w:t xml:space="preserve">dla środków trwałych o wartości niższej niż </w:t>
      </w:r>
      <w:r w:rsidR="00982F08" w:rsidRPr="00C9790B">
        <w:rPr>
          <w:sz w:val="22"/>
          <w:szCs w:val="22"/>
        </w:rPr>
        <w:t>1 0</w:t>
      </w:r>
      <w:r w:rsidR="00952812" w:rsidRPr="00C9790B">
        <w:rPr>
          <w:sz w:val="22"/>
          <w:szCs w:val="22"/>
        </w:rPr>
        <w:t>00</w:t>
      </w:r>
      <w:r w:rsidR="001A5B49" w:rsidRPr="00C9790B">
        <w:rPr>
          <w:sz w:val="22"/>
          <w:szCs w:val="22"/>
        </w:rPr>
        <w:t xml:space="preserve"> </w:t>
      </w:r>
      <w:r w:rsidR="00952812" w:rsidRPr="00C9790B">
        <w:rPr>
          <w:sz w:val="22"/>
          <w:szCs w:val="22"/>
        </w:rPr>
        <w:t>zł</w:t>
      </w:r>
      <w:r w:rsidR="001A5B49" w:rsidRPr="00C9790B">
        <w:rPr>
          <w:sz w:val="22"/>
          <w:szCs w:val="22"/>
        </w:rPr>
        <w:t>,</w:t>
      </w:r>
    </w:p>
    <w:p w:rsidR="00B738FA" w:rsidRDefault="00C9790B" w:rsidP="003A068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A6FB0" w:rsidRPr="00C9790B">
        <w:rPr>
          <w:sz w:val="22"/>
          <w:szCs w:val="22"/>
        </w:rPr>
        <w:t>sob</w:t>
      </w:r>
      <w:r w:rsidR="00ED102E" w:rsidRPr="00C9790B">
        <w:rPr>
          <w:sz w:val="22"/>
          <w:szCs w:val="22"/>
        </w:rPr>
        <w:t>y</w:t>
      </w:r>
      <w:r w:rsidR="001A6FB0" w:rsidRPr="00C9790B">
        <w:rPr>
          <w:sz w:val="22"/>
          <w:szCs w:val="22"/>
        </w:rPr>
        <w:t xml:space="preserve"> odpowiedzialn</w:t>
      </w:r>
      <w:r w:rsidR="00ED102E" w:rsidRPr="00C9790B">
        <w:rPr>
          <w:sz w:val="22"/>
          <w:szCs w:val="22"/>
        </w:rPr>
        <w:t>e</w:t>
      </w:r>
      <w:r w:rsidR="001A6FB0" w:rsidRPr="00C9790B">
        <w:rPr>
          <w:sz w:val="22"/>
          <w:szCs w:val="22"/>
        </w:rPr>
        <w:t xml:space="preserve"> za obiekty </w:t>
      </w:r>
      <w:r w:rsidR="00211B06" w:rsidRPr="00C9790B">
        <w:rPr>
          <w:sz w:val="22"/>
          <w:szCs w:val="22"/>
        </w:rPr>
        <w:t>w księ</w:t>
      </w:r>
      <w:r w:rsidR="00A81A8F" w:rsidRPr="00C9790B">
        <w:rPr>
          <w:sz w:val="22"/>
          <w:szCs w:val="22"/>
        </w:rPr>
        <w:t>dze</w:t>
      </w:r>
      <w:r w:rsidR="00211B06" w:rsidRPr="00C9790B">
        <w:rPr>
          <w:sz w:val="22"/>
          <w:szCs w:val="22"/>
        </w:rPr>
        <w:t xml:space="preserve"> inwentarzow</w:t>
      </w:r>
      <w:r w:rsidR="00A81A8F" w:rsidRPr="00C9790B">
        <w:rPr>
          <w:sz w:val="22"/>
          <w:szCs w:val="22"/>
        </w:rPr>
        <w:t>ej</w:t>
      </w:r>
      <w:r w:rsidR="00211B06" w:rsidRPr="00C9790B">
        <w:rPr>
          <w:sz w:val="22"/>
          <w:szCs w:val="22"/>
        </w:rPr>
        <w:t xml:space="preserve"> </w:t>
      </w:r>
      <w:r w:rsidR="00B738FA" w:rsidRPr="00C9790B">
        <w:rPr>
          <w:sz w:val="22"/>
          <w:szCs w:val="22"/>
        </w:rPr>
        <w:t xml:space="preserve">nieruchomości: </w:t>
      </w:r>
      <w:r w:rsidR="00E16B18" w:rsidRPr="00C9790B">
        <w:rPr>
          <w:sz w:val="22"/>
          <w:szCs w:val="22"/>
        </w:rPr>
        <w:t>grunty</w:t>
      </w:r>
      <w:r w:rsidR="00B738FA" w:rsidRPr="00C9790B">
        <w:rPr>
          <w:sz w:val="22"/>
          <w:szCs w:val="22"/>
        </w:rPr>
        <w:t>,</w:t>
      </w:r>
      <w:r w:rsidR="00E673E7" w:rsidRPr="00C9790B">
        <w:rPr>
          <w:sz w:val="22"/>
          <w:szCs w:val="22"/>
        </w:rPr>
        <w:t xml:space="preserve"> </w:t>
      </w:r>
      <w:r w:rsidR="00B738FA" w:rsidRPr="00C9790B">
        <w:rPr>
          <w:sz w:val="22"/>
          <w:szCs w:val="22"/>
        </w:rPr>
        <w:t>budynki,</w:t>
      </w:r>
      <w:r w:rsidR="00E673E7" w:rsidRPr="00C9790B">
        <w:rPr>
          <w:sz w:val="22"/>
          <w:szCs w:val="22"/>
        </w:rPr>
        <w:t xml:space="preserve"> </w:t>
      </w:r>
      <w:r w:rsidR="00DB0372" w:rsidRPr="00C9790B">
        <w:rPr>
          <w:sz w:val="22"/>
          <w:szCs w:val="22"/>
        </w:rPr>
        <w:t xml:space="preserve">budowle, </w:t>
      </w:r>
      <w:r>
        <w:rPr>
          <w:sz w:val="22"/>
          <w:szCs w:val="22"/>
        </w:rPr>
        <w:t>obiekty inż. lądowej</w:t>
      </w:r>
      <w:r w:rsidR="00902E82" w:rsidRPr="00C9790B">
        <w:rPr>
          <w:sz w:val="22"/>
          <w:szCs w:val="22"/>
        </w:rPr>
        <w:t>,</w:t>
      </w:r>
    </w:p>
    <w:p w:rsidR="00902E82" w:rsidRPr="00C9790B" w:rsidRDefault="00FD479B" w:rsidP="003A068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C9790B">
        <w:rPr>
          <w:sz w:val="22"/>
          <w:szCs w:val="22"/>
        </w:rPr>
        <w:t>Sekcja Ewidencji Majątkowej</w:t>
      </w:r>
      <w:r w:rsidR="00557131" w:rsidRPr="00C9790B">
        <w:rPr>
          <w:sz w:val="22"/>
          <w:szCs w:val="22"/>
        </w:rPr>
        <w:t xml:space="preserve">, </w:t>
      </w:r>
      <w:r w:rsidR="002813A2" w:rsidRPr="00C9790B">
        <w:rPr>
          <w:sz w:val="22"/>
          <w:szCs w:val="22"/>
        </w:rPr>
        <w:t>do której</w:t>
      </w:r>
      <w:r w:rsidR="00902E82" w:rsidRPr="00C9790B">
        <w:rPr>
          <w:sz w:val="22"/>
          <w:szCs w:val="22"/>
        </w:rPr>
        <w:t xml:space="preserve"> obowiązków należy:</w:t>
      </w:r>
    </w:p>
    <w:p w:rsidR="00C9790B" w:rsidRDefault="00902E82" w:rsidP="003A0683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9790B">
        <w:rPr>
          <w:sz w:val="22"/>
          <w:szCs w:val="22"/>
        </w:rPr>
        <w:t>wystawienie dowodu OT dla środków trwałych</w:t>
      </w:r>
      <w:r w:rsidR="004E4F92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>i przekazanie w/w dowodu pocztą elektroniczną</w:t>
      </w:r>
      <w:r w:rsidR="00E673E7" w:rsidRPr="00C9790B">
        <w:rPr>
          <w:sz w:val="22"/>
          <w:szCs w:val="22"/>
        </w:rPr>
        <w:t xml:space="preserve"> </w:t>
      </w:r>
      <w:r w:rsidR="004E4F92" w:rsidRPr="00C9790B">
        <w:rPr>
          <w:sz w:val="22"/>
          <w:szCs w:val="22"/>
        </w:rPr>
        <w:t xml:space="preserve">osobom </w:t>
      </w:r>
      <w:r w:rsidR="00B00478" w:rsidRPr="00C9790B">
        <w:rPr>
          <w:sz w:val="22"/>
          <w:szCs w:val="22"/>
        </w:rPr>
        <w:t xml:space="preserve">materialnie </w:t>
      </w:r>
      <w:r w:rsidR="004E4F92" w:rsidRPr="00C9790B">
        <w:rPr>
          <w:sz w:val="22"/>
          <w:szCs w:val="22"/>
        </w:rPr>
        <w:t xml:space="preserve">odpowiedzialnym </w:t>
      </w:r>
      <w:r w:rsidRPr="00C9790B">
        <w:rPr>
          <w:sz w:val="22"/>
          <w:szCs w:val="22"/>
        </w:rPr>
        <w:t>w celu zweryfikowania, wydrukowania, podpisania, oznakowania w sposób trwały numerem inwentarzowym i wprowadzenia do swojej ewidencji,</w:t>
      </w:r>
    </w:p>
    <w:p w:rsidR="00902E82" w:rsidRPr="00C9790B" w:rsidRDefault="00902E82" w:rsidP="003A0683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9790B">
        <w:rPr>
          <w:sz w:val="22"/>
          <w:szCs w:val="22"/>
        </w:rPr>
        <w:t>określenie i weryfikacja stawek amortyzacyjnych bilansowych</w:t>
      </w:r>
      <w:r w:rsidR="004E4F92" w:rsidRPr="00C9790B">
        <w:rPr>
          <w:sz w:val="22"/>
          <w:szCs w:val="22"/>
        </w:rPr>
        <w:t xml:space="preserve"> (załącznik nr 11 do Zarządzenia)</w:t>
      </w:r>
      <w:r w:rsidR="00604D5E" w:rsidRPr="00C9790B">
        <w:rPr>
          <w:sz w:val="22"/>
          <w:szCs w:val="22"/>
        </w:rPr>
        <w:t xml:space="preserve"> </w:t>
      </w:r>
      <w:r w:rsidRPr="00C9790B">
        <w:rPr>
          <w:sz w:val="22"/>
          <w:szCs w:val="22"/>
        </w:rPr>
        <w:t>zgodnie z okresem ekonom</w:t>
      </w:r>
      <w:r w:rsidR="00C9790B">
        <w:rPr>
          <w:sz w:val="22"/>
          <w:szCs w:val="22"/>
        </w:rPr>
        <w:t>icznego użytkowania w Uczelni (</w:t>
      </w:r>
      <w:r w:rsidRPr="00C9790B">
        <w:rPr>
          <w:sz w:val="22"/>
          <w:szCs w:val="22"/>
        </w:rPr>
        <w:t xml:space="preserve">wg informacji z jednostek użytkujących) oraz stawek amortyzacyjnych podatkowych, określonych w ustawie o podatku dochodowym od osób prawnych. </w:t>
      </w:r>
    </w:p>
    <w:p w:rsidR="001A08C6" w:rsidRDefault="00021CF4" w:rsidP="003A068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C9790B">
        <w:rPr>
          <w:sz w:val="22"/>
          <w:szCs w:val="22"/>
        </w:rPr>
        <w:t>Prowadzona ewidencja powinna zawierać</w:t>
      </w:r>
      <w:r w:rsidR="00DB0715" w:rsidRPr="00C9790B">
        <w:rPr>
          <w:sz w:val="22"/>
          <w:szCs w:val="22"/>
        </w:rPr>
        <w:t xml:space="preserve"> nazwę, </w:t>
      </w:r>
      <w:r w:rsidRPr="00C9790B">
        <w:rPr>
          <w:sz w:val="22"/>
          <w:szCs w:val="22"/>
        </w:rPr>
        <w:t>ilość, wartość</w:t>
      </w:r>
      <w:r w:rsidR="00DB0715" w:rsidRPr="00C9790B">
        <w:rPr>
          <w:sz w:val="22"/>
          <w:szCs w:val="22"/>
        </w:rPr>
        <w:t xml:space="preserve"> początkową</w:t>
      </w:r>
      <w:r w:rsidRPr="00C9790B">
        <w:rPr>
          <w:sz w:val="22"/>
          <w:szCs w:val="22"/>
        </w:rPr>
        <w:t xml:space="preserve">, numer inwentarzowy, datę </w:t>
      </w:r>
      <w:r w:rsidR="00DB0715" w:rsidRPr="00C9790B">
        <w:rPr>
          <w:sz w:val="22"/>
          <w:szCs w:val="22"/>
        </w:rPr>
        <w:t xml:space="preserve">i numer </w:t>
      </w:r>
      <w:r w:rsidRPr="00C9790B">
        <w:rPr>
          <w:sz w:val="22"/>
          <w:szCs w:val="22"/>
        </w:rPr>
        <w:t xml:space="preserve">dowodu </w:t>
      </w:r>
      <w:r w:rsidR="00AC1FF1" w:rsidRPr="00C9790B">
        <w:rPr>
          <w:sz w:val="22"/>
          <w:szCs w:val="22"/>
        </w:rPr>
        <w:t>nabycia</w:t>
      </w:r>
      <w:r w:rsidRPr="00C9790B">
        <w:rPr>
          <w:sz w:val="22"/>
          <w:szCs w:val="22"/>
        </w:rPr>
        <w:t xml:space="preserve"> środka trwałego oraz wyszczególnienie źródła jego sfinansowania</w:t>
      </w:r>
      <w:r w:rsidR="000278F5" w:rsidRPr="00C9790B">
        <w:rPr>
          <w:sz w:val="22"/>
          <w:szCs w:val="22"/>
        </w:rPr>
        <w:t xml:space="preserve">, zwłaszcza </w:t>
      </w:r>
      <w:r w:rsidR="00C9790B">
        <w:rPr>
          <w:sz w:val="22"/>
          <w:szCs w:val="22"/>
        </w:rPr>
        <w:br/>
      </w:r>
      <w:r w:rsidR="000278F5" w:rsidRPr="00C9790B">
        <w:rPr>
          <w:sz w:val="22"/>
          <w:szCs w:val="22"/>
        </w:rPr>
        <w:t>w przypadku źródeł zewnętrznych (np. finansowane lub współfina</w:t>
      </w:r>
      <w:r w:rsidR="00964F42" w:rsidRPr="00C9790B">
        <w:rPr>
          <w:sz w:val="22"/>
          <w:szCs w:val="22"/>
        </w:rPr>
        <w:t>n</w:t>
      </w:r>
      <w:r w:rsidR="000278F5" w:rsidRPr="00C9790B">
        <w:rPr>
          <w:sz w:val="22"/>
          <w:szCs w:val="22"/>
        </w:rPr>
        <w:t xml:space="preserve">sowane z Unii Europejskiej, </w:t>
      </w:r>
      <w:r w:rsidR="00735830" w:rsidRPr="00C9790B">
        <w:rPr>
          <w:sz w:val="22"/>
          <w:szCs w:val="22"/>
        </w:rPr>
        <w:t xml:space="preserve">subwencji dla podmiotów szkolnictwa wyższego, </w:t>
      </w:r>
      <w:r w:rsidR="000278F5" w:rsidRPr="00C9790B">
        <w:rPr>
          <w:sz w:val="22"/>
          <w:szCs w:val="22"/>
        </w:rPr>
        <w:t>Urzędu Marszałkowskiego,</w:t>
      </w:r>
      <w:r w:rsidR="00ED102E" w:rsidRPr="00C9790B">
        <w:rPr>
          <w:sz w:val="22"/>
          <w:szCs w:val="22"/>
        </w:rPr>
        <w:t xml:space="preserve"> </w:t>
      </w:r>
      <w:proofErr w:type="spellStart"/>
      <w:r w:rsidR="000278F5" w:rsidRPr="00C9790B">
        <w:rPr>
          <w:sz w:val="22"/>
          <w:szCs w:val="22"/>
        </w:rPr>
        <w:t>MNiSW</w:t>
      </w:r>
      <w:proofErr w:type="spellEnd"/>
      <w:r w:rsidR="000278F5" w:rsidRPr="00C9790B">
        <w:rPr>
          <w:sz w:val="22"/>
          <w:szCs w:val="22"/>
        </w:rPr>
        <w:t xml:space="preserve"> itp.).</w:t>
      </w:r>
    </w:p>
    <w:p w:rsidR="00B738FA" w:rsidRPr="001A08C6" w:rsidRDefault="00045F7D" w:rsidP="003A068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1A08C6">
        <w:rPr>
          <w:sz w:val="22"/>
          <w:szCs w:val="22"/>
        </w:rPr>
        <w:t xml:space="preserve">Osoby materialnie odpowiedzialne </w:t>
      </w:r>
      <w:r w:rsidR="00902E82" w:rsidRPr="001A08C6">
        <w:rPr>
          <w:sz w:val="22"/>
          <w:szCs w:val="22"/>
        </w:rPr>
        <w:t>prowadząc</w:t>
      </w:r>
      <w:r w:rsidR="007C7DE1" w:rsidRPr="001A08C6">
        <w:rPr>
          <w:sz w:val="22"/>
          <w:szCs w:val="22"/>
        </w:rPr>
        <w:t>e</w:t>
      </w:r>
      <w:r w:rsidR="00902E82" w:rsidRPr="001A08C6">
        <w:rPr>
          <w:sz w:val="22"/>
          <w:szCs w:val="22"/>
        </w:rPr>
        <w:t xml:space="preserve"> w </w:t>
      </w:r>
      <w:r w:rsidR="00B738FA" w:rsidRPr="001A08C6">
        <w:rPr>
          <w:sz w:val="22"/>
          <w:szCs w:val="22"/>
        </w:rPr>
        <w:t xml:space="preserve">Uczelni </w:t>
      </w:r>
      <w:r w:rsidR="00902E82" w:rsidRPr="001A08C6">
        <w:rPr>
          <w:sz w:val="22"/>
          <w:szCs w:val="22"/>
        </w:rPr>
        <w:t xml:space="preserve">ewidencję środków trwałych </w:t>
      </w:r>
      <w:r w:rsidR="00B738FA" w:rsidRPr="001A08C6">
        <w:rPr>
          <w:sz w:val="22"/>
          <w:szCs w:val="22"/>
        </w:rPr>
        <w:t>zobowiązan</w:t>
      </w:r>
      <w:r w:rsidR="007C7DE1" w:rsidRPr="001A08C6">
        <w:rPr>
          <w:sz w:val="22"/>
          <w:szCs w:val="22"/>
        </w:rPr>
        <w:t>e</w:t>
      </w:r>
      <w:r w:rsidR="00B738FA" w:rsidRPr="001A08C6">
        <w:rPr>
          <w:sz w:val="22"/>
          <w:szCs w:val="22"/>
        </w:rPr>
        <w:t xml:space="preserve"> są do </w:t>
      </w:r>
      <w:r w:rsidR="00DA5487" w:rsidRPr="001A08C6">
        <w:rPr>
          <w:sz w:val="22"/>
          <w:szCs w:val="22"/>
        </w:rPr>
        <w:t>uzgadniania zapisów w księgach</w:t>
      </w:r>
      <w:r w:rsidR="00902E82" w:rsidRPr="001A08C6">
        <w:rPr>
          <w:sz w:val="22"/>
          <w:szCs w:val="22"/>
        </w:rPr>
        <w:t xml:space="preserve"> </w:t>
      </w:r>
      <w:r w:rsidR="00B738FA" w:rsidRPr="001A08C6">
        <w:rPr>
          <w:sz w:val="22"/>
          <w:szCs w:val="22"/>
        </w:rPr>
        <w:t xml:space="preserve">inwentarzowych z ewidencją prowadzoną w </w:t>
      </w:r>
      <w:r w:rsidR="00FD479B" w:rsidRPr="001A08C6">
        <w:rPr>
          <w:sz w:val="22"/>
          <w:szCs w:val="22"/>
        </w:rPr>
        <w:t xml:space="preserve">Sekcji Ewidencji Majątkowej </w:t>
      </w:r>
      <w:r w:rsidR="00B738FA" w:rsidRPr="001A08C6">
        <w:rPr>
          <w:sz w:val="22"/>
          <w:szCs w:val="22"/>
        </w:rPr>
        <w:t>na dzień inwentaryzacji oraz na dzień</w:t>
      </w:r>
      <w:r w:rsidR="00A372A5" w:rsidRPr="001A08C6">
        <w:rPr>
          <w:sz w:val="22"/>
          <w:szCs w:val="22"/>
        </w:rPr>
        <w:t xml:space="preserve"> </w:t>
      </w:r>
      <w:r w:rsidR="00B738FA" w:rsidRPr="001A08C6">
        <w:rPr>
          <w:sz w:val="22"/>
          <w:szCs w:val="22"/>
        </w:rPr>
        <w:t>31 grudnia każdego roku</w:t>
      </w:r>
      <w:r w:rsidR="003D1ABE" w:rsidRPr="001A08C6">
        <w:rPr>
          <w:sz w:val="22"/>
          <w:szCs w:val="22"/>
        </w:rPr>
        <w:t xml:space="preserve"> obrotowego</w:t>
      </w:r>
      <w:r w:rsidR="00B738FA" w:rsidRPr="001A08C6">
        <w:rPr>
          <w:sz w:val="22"/>
          <w:szCs w:val="22"/>
        </w:rPr>
        <w:t>.</w:t>
      </w:r>
    </w:p>
    <w:p w:rsidR="005A22D3" w:rsidRPr="00DF686A" w:rsidRDefault="005A22D3" w:rsidP="00DF686A">
      <w:pPr>
        <w:shd w:val="clear" w:color="auto" w:fill="FFFFFF"/>
        <w:ind w:left="3540" w:firstLine="708"/>
        <w:jc w:val="both"/>
        <w:rPr>
          <w:b/>
          <w:bCs/>
          <w:sz w:val="22"/>
          <w:szCs w:val="22"/>
        </w:rPr>
      </w:pPr>
    </w:p>
    <w:p w:rsidR="001A08C6" w:rsidRDefault="001A08C6" w:rsidP="001A08C6">
      <w:pPr>
        <w:shd w:val="clear" w:color="auto" w:fill="FFFFFF"/>
        <w:ind w:left="354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§7</w:t>
      </w:r>
    </w:p>
    <w:p w:rsidR="00B738FA" w:rsidRPr="001A08C6" w:rsidRDefault="00B738FA" w:rsidP="003A0683">
      <w:pPr>
        <w:pStyle w:val="Akapitzlist"/>
        <w:numPr>
          <w:ilvl w:val="0"/>
          <w:numId w:val="24"/>
        </w:numPr>
        <w:shd w:val="clear" w:color="auto" w:fill="FFFFFF"/>
        <w:jc w:val="both"/>
        <w:rPr>
          <w:bCs/>
          <w:sz w:val="22"/>
          <w:szCs w:val="22"/>
        </w:rPr>
      </w:pPr>
      <w:r w:rsidRPr="001A08C6">
        <w:rPr>
          <w:sz w:val="22"/>
          <w:szCs w:val="22"/>
        </w:rPr>
        <w:t xml:space="preserve">Podstawą </w:t>
      </w:r>
      <w:r w:rsidR="00211B06" w:rsidRPr="001A08C6">
        <w:rPr>
          <w:sz w:val="22"/>
          <w:szCs w:val="22"/>
        </w:rPr>
        <w:t xml:space="preserve">dokumentowania przychodu </w:t>
      </w:r>
      <w:r w:rsidRPr="001A08C6">
        <w:rPr>
          <w:sz w:val="22"/>
          <w:szCs w:val="22"/>
        </w:rPr>
        <w:t>środk</w:t>
      </w:r>
      <w:r w:rsidR="00211B06" w:rsidRPr="001A08C6">
        <w:rPr>
          <w:sz w:val="22"/>
          <w:szCs w:val="22"/>
        </w:rPr>
        <w:t>ów</w:t>
      </w:r>
      <w:r w:rsidRPr="001A08C6">
        <w:rPr>
          <w:sz w:val="22"/>
          <w:szCs w:val="22"/>
        </w:rPr>
        <w:t xml:space="preserve"> trwał</w:t>
      </w:r>
      <w:r w:rsidR="00F61540" w:rsidRPr="001A08C6">
        <w:rPr>
          <w:sz w:val="22"/>
          <w:szCs w:val="22"/>
        </w:rPr>
        <w:t>ych</w:t>
      </w:r>
      <w:r w:rsidR="00FA104B" w:rsidRPr="001A08C6">
        <w:rPr>
          <w:sz w:val="22"/>
          <w:szCs w:val="22"/>
        </w:rPr>
        <w:t xml:space="preserve"> </w:t>
      </w:r>
      <w:r w:rsidRPr="001A08C6">
        <w:rPr>
          <w:sz w:val="22"/>
          <w:szCs w:val="22"/>
        </w:rPr>
        <w:t xml:space="preserve">są następujące </w:t>
      </w:r>
      <w:r w:rsidR="00211B06" w:rsidRPr="001A08C6">
        <w:rPr>
          <w:sz w:val="22"/>
          <w:szCs w:val="22"/>
        </w:rPr>
        <w:t>dowody</w:t>
      </w:r>
      <w:r w:rsidRPr="001A08C6">
        <w:rPr>
          <w:sz w:val="22"/>
          <w:szCs w:val="22"/>
        </w:rPr>
        <w:t>:</w:t>
      </w:r>
    </w:p>
    <w:p w:rsidR="00440EE8" w:rsidRPr="001A08C6" w:rsidRDefault="00B738FA" w:rsidP="003A0683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1A08C6">
        <w:rPr>
          <w:sz w:val="22"/>
          <w:szCs w:val="22"/>
        </w:rPr>
        <w:lastRenderedPageBreak/>
        <w:t>OT - „</w:t>
      </w:r>
      <w:r w:rsidR="002F2953" w:rsidRPr="001A08C6">
        <w:rPr>
          <w:sz w:val="22"/>
          <w:szCs w:val="22"/>
        </w:rPr>
        <w:t>Dowód przyjęcia środka trwałego do używania</w:t>
      </w:r>
      <w:r w:rsidRPr="001A08C6">
        <w:rPr>
          <w:sz w:val="22"/>
          <w:szCs w:val="22"/>
        </w:rPr>
        <w:t xml:space="preserve">" wraz z fakturą oraz „Protokołem odbioru " </w:t>
      </w:r>
      <w:r w:rsidR="001A08C6">
        <w:rPr>
          <w:sz w:val="22"/>
          <w:szCs w:val="22"/>
        </w:rPr>
        <w:br/>
      </w:r>
      <w:r w:rsidRPr="001A08C6">
        <w:rPr>
          <w:sz w:val="22"/>
          <w:szCs w:val="22"/>
        </w:rPr>
        <w:t>w dniu faktycznego przyję</w:t>
      </w:r>
      <w:r w:rsidR="001A08C6">
        <w:rPr>
          <w:sz w:val="22"/>
          <w:szCs w:val="22"/>
        </w:rPr>
        <w:t>cia środka trwałego do używania;</w:t>
      </w:r>
      <w:r w:rsidRPr="001A08C6">
        <w:rPr>
          <w:sz w:val="22"/>
          <w:szCs w:val="22"/>
        </w:rPr>
        <w:t xml:space="preserve"> </w:t>
      </w:r>
      <w:r w:rsidR="001A08C6">
        <w:rPr>
          <w:sz w:val="22"/>
          <w:szCs w:val="22"/>
        </w:rPr>
        <w:t>d</w:t>
      </w:r>
      <w:r w:rsidRPr="001A08C6">
        <w:rPr>
          <w:sz w:val="22"/>
          <w:szCs w:val="22"/>
        </w:rPr>
        <w:t xml:space="preserve">okument OT </w:t>
      </w:r>
      <w:r w:rsidR="00DA45B4" w:rsidRPr="001A08C6">
        <w:rPr>
          <w:sz w:val="22"/>
          <w:szCs w:val="22"/>
        </w:rPr>
        <w:t xml:space="preserve">wraz z kartą środka trwałego </w:t>
      </w:r>
      <w:r w:rsidRPr="001A08C6">
        <w:rPr>
          <w:sz w:val="22"/>
          <w:szCs w:val="22"/>
        </w:rPr>
        <w:t xml:space="preserve">sporządza w 3-ch egzemplarzach </w:t>
      </w:r>
      <w:r w:rsidR="001A08C6">
        <w:rPr>
          <w:sz w:val="22"/>
          <w:szCs w:val="22"/>
        </w:rPr>
        <w:t>Sekcja Ewidencji Majątkowej</w:t>
      </w:r>
      <w:r w:rsidRPr="001A08C6">
        <w:rPr>
          <w:sz w:val="22"/>
          <w:szCs w:val="22"/>
        </w:rPr>
        <w:t>, w któr</w:t>
      </w:r>
      <w:r w:rsidR="004808BD" w:rsidRPr="001A08C6">
        <w:rPr>
          <w:sz w:val="22"/>
          <w:szCs w:val="22"/>
        </w:rPr>
        <w:t>y</w:t>
      </w:r>
      <w:r w:rsidR="00DA45B4" w:rsidRPr="001A08C6">
        <w:rPr>
          <w:sz w:val="22"/>
          <w:szCs w:val="22"/>
        </w:rPr>
        <w:t>m</w:t>
      </w:r>
      <w:r w:rsidR="00C50029" w:rsidRPr="001A08C6">
        <w:rPr>
          <w:sz w:val="22"/>
          <w:szCs w:val="22"/>
        </w:rPr>
        <w:t xml:space="preserve"> </w:t>
      </w:r>
      <w:r w:rsidRPr="001A08C6">
        <w:rPr>
          <w:sz w:val="22"/>
          <w:szCs w:val="22"/>
        </w:rPr>
        <w:t>określa</w:t>
      </w:r>
      <w:r w:rsidR="00440EE8" w:rsidRPr="001A08C6">
        <w:rPr>
          <w:sz w:val="22"/>
          <w:szCs w:val="22"/>
        </w:rPr>
        <w:t xml:space="preserve"> się:</w:t>
      </w:r>
    </w:p>
    <w:p w:rsidR="00565089" w:rsidRDefault="00565089" w:rsidP="003A0683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DF686A">
        <w:rPr>
          <w:sz w:val="22"/>
          <w:szCs w:val="22"/>
        </w:rPr>
        <w:t>nazwę środka trwałego</w:t>
      </w:r>
      <w:r w:rsidR="001A08C6">
        <w:rPr>
          <w:sz w:val="22"/>
          <w:szCs w:val="22"/>
        </w:rPr>
        <w:t>,</w:t>
      </w:r>
    </w:p>
    <w:p w:rsidR="00440EE8" w:rsidRDefault="00B738FA" w:rsidP="003A0683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1A08C6">
        <w:rPr>
          <w:sz w:val="22"/>
          <w:szCs w:val="22"/>
        </w:rPr>
        <w:t xml:space="preserve">grupę klasyfikacji </w:t>
      </w:r>
      <w:r w:rsidR="0074364D" w:rsidRPr="001A08C6">
        <w:rPr>
          <w:sz w:val="22"/>
          <w:szCs w:val="22"/>
        </w:rPr>
        <w:t xml:space="preserve">GUS </w:t>
      </w:r>
      <w:r w:rsidR="003D1ABE" w:rsidRPr="001A08C6">
        <w:rPr>
          <w:sz w:val="22"/>
          <w:szCs w:val="22"/>
        </w:rPr>
        <w:t>środka trwałego,</w:t>
      </w:r>
    </w:p>
    <w:p w:rsidR="005F0F1E" w:rsidRDefault="005F0F1E" w:rsidP="003A0683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1A08C6">
        <w:rPr>
          <w:sz w:val="22"/>
          <w:szCs w:val="22"/>
        </w:rPr>
        <w:t xml:space="preserve">rodzaj majątku: środki </w:t>
      </w:r>
      <w:r w:rsidR="0074364D" w:rsidRPr="001A08C6">
        <w:rPr>
          <w:sz w:val="22"/>
          <w:szCs w:val="22"/>
        </w:rPr>
        <w:t>trwałe</w:t>
      </w:r>
      <w:r w:rsidR="00D7409C" w:rsidRPr="001A08C6">
        <w:rPr>
          <w:sz w:val="22"/>
          <w:szCs w:val="22"/>
        </w:rPr>
        <w:t xml:space="preserve">, </w:t>
      </w:r>
      <w:r w:rsidR="0074364D" w:rsidRPr="001A08C6">
        <w:rPr>
          <w:sz w:val="22"/>
          <w:szCs w:val="22"/>
        </w:rPr>
        <w:t xml:space="preserve">środki trwałe o niskiej wartości (środki trwałe </w:t>
      </w:r>
      <w:proofErr w:type="spellStart"/>
      <w:r w:rsidR="0074364D" w:rsidRPr="001A08C6">
        <w:rPr>
          <w:sz w:val="22"/>
          <w:szCs w:val="22"/>
        </w:rPr>
        <w:t>niskocenne</w:t>
      </w:r>
      <w:proofErr w:type="spellEnd"/>
      <w:r w:rsidR="0074364D" w:rsidRPr="001A08C6">
        <w:rPr>
          <w:sz w:val="22"/>
          <w:szCs w:val="22"/>
        </w:rPr>
        <w:t>)</w:t>
      </w:r>
      <w:r w:rsidR="00D7409C" w:rsidRPr="001A08C6">
        <w:rPr>
          <w:sz w:val="22"/>
          <w:szCs w:val="22"/>
        </w:rPr>
        <w:t>,</w:t>
      </w:r>
    </w:p>
    <w:p w:rsidR="00440EE8" w:rsidRDefault="00B738FA" w:rsidP="003A0683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1A08C6">
        <w:rPr>
          <w:sz w:val="22"/>
          <w:szCs w:val="22"/>
        </w:rPr>
        <w:t>stawkę amortyzacji</w:t>
      </w:r>
      <w:r w:rsidR="00F5650A" w:rsidRPr="001A08C6">
        <w:rPr>
          <w:sz w:val="22"/>
          <w:szCs w:val="22"/>
        </w:rPr>
        <w:t>,</w:t>
      </w:r>
    </w:p>
    <w:p w:rsidR="00440EE8" w:rsidRDefault="00440EE8" w:rsidP="003A0683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1A08C6">
        <w:rPr>
          <w:sz w:val="22"/>
          <w:szCs w:val="22"/>
        </w:rPr>
        <w:t>miejsce użytkowania, stanowisko kosztów</w:t>
      </w:r>
      <w:r w:rsidR="003D1ABE" w:rsidRPr="001A08C6">
        <w:rPr>
          <w:sz w:val="22"/>
          <w:szCs w:val="22"/>
        </w:rPr>
        <w:t>,</w:t>
      </w:r>
    </w:p>
    <w:p w:rsidR="001A08C6" w:rsidRDefault="002F2953" w:rsidP="003A0683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1A08C6">
        <w:rPr>
          <w:sz w:val="22"/>
          <w:szCs w:val="22"/>
        </w:rPr>
        <w:t>osobę</w:t>
      </w:r>
      <w:r w:rsidR="00440EE8" w:rsidRPr="001A08C6">
        <w:rPr>
          <w:sz w:val="22"/>
          <w:szCs w:val="22"/>
        </w:rPr>
        <w:t xml:space="preserve"> </w:t>
      </w:r>
      <w:r w:rsidR="00ED6722" w:rsidRPr="001A08C6">
        <w:rPr>
          <w:sz w:val="22"/>
          <w:szCs w:val="22"/>
        </w:rPr>
        <w:t>materialnie od</w:t>
      </w:r>
      <w:r w:rsidRPr="001A08C6">
        <w:rPr>
          <w:sz w:val="22"/>
          <w:szCs w:val="22"/>
        </w:rPr>
        <w:t>powiedzialną</w:t>
      </w:r>
      <w:r w:rsidR="00ED6722" w:rsidRPr="001A08C6">
        <w:rPr>
          <w:sz w:val="22"/>
          <w:szCs w:val="22"/>
        </w:rPr>
        <w:t>,</w:t>
      </w:r>
    </w:p>
    <w:p w:rsidR="002F2953" w:rsidRDefault="002F2953" w:rsidP="003A0683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1A08C6">
        <w:rPr>
          <w:sz w:val="22"/>
          <w:szCs w:val="22"/>
        </w:rPr>
        <w:t>parametry zakupu: dostawcę, nr dokumentu zakupu, datę nabycia</w:t>
      </w:r>
      <w:r w:rsidR="00964F42" w:rsidRPr="001A08C6">
        <w:rPr>
          <w:sz w:val="22"/>
          <w:szCs w:val="22"/>
        </w:rPr>
        <w:t>,</w:t>
      </w:r>
    </w:p>
    <w:p w:rsidR="00EB6B27" w:rsidRDefault="00EB6B27" w:rsidP="003A0683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1A08C6">
        <w:rPr>
          <w:sz w:val="22"/>
          <w:szCs w:val="22"/>
        </w:rPr>
        <w:t>źródło finansowania,</w:t>
      </w:r>
    </w:p>
    <w:p w:rsidR="002F2953" w:rsidRPr="001A08C6" w:rsidRDefault="003D1ABE" w:rsidP="003A0683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1A08C6">
        <w:rPr>
          <w:sz w:val="22"/>
          <w:szCs w:val="22"/>
        </w:rPr>
        <w:t xml:space="preserve">inne </w:t>
      </w:r>
      <w:r w:rsidR="006B2633" w:rsidRPr="001A08C6">
        <w:rPr>
          <w:sz w:val="22"/>
          <w:szCs w:val="22"/>
        </w:rPr>
        <w:t xml:space="preserve">istotne </w:t>
      </w:r>
      <w:r w:rsidR="002F2953" w:rsidRPr="001A08C6">
        <w:rPr>
          <w:sz w:val="22"/>
          <w:szCs w:val="22"/>
        </w:rPr>
        <w:t>informacje np. części składowe</w:t>
      </w:r>
      <w:r w:rsidR="00565089" w:rsidRPr="001A08C6">
        <w:rPr>
          <w:sz w:val="22"/>
          <w:szCs w:val="22"/>
        </w:rPr>
        <w:t>, charakterystyka.</w:t>
      </w:r>
    </w:p>
    <w:p w:rsidR="00061ED9" w:rsidRPr="00DF686A" w:rsidRDefault="00AE5F59" w:rsidP="00DF686A">
      <w:pPr>
        <w:shd w:val="clear" w:color="auto" w:fill="FFFFFF"/>
        <w:ind w:left="720"/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Jeden </w:t>
      </w:r>
      <w:r w:rsidR="0074364D" w:rsidRPr="00DF686A">
        <w:rPr>
          <w:sz w:val="22"/>
          <w:szCs w:val="22"/>
        </w:rPr>
        <w:t xml:space="preserve">egzemplarz dokumentu OT wraz z oryginałem faktury i protokołu odbioru przechowywany jest w </w:t>
      </w:r>
      <w:r w:rsidR="00415EFA" w:rsidRPr="00DF686A">
        <w:rPr>
          <w:sz w:val="22"/>
          <w:szCs w:val="22"/>
        </w:rPr>
        <w:t xml:space="preserve">obszarze finansowo-księgowym </w:t>
      </w:r>
      <w:r w:rsidR="0074364D" w:rsidRPr="00DF686A">
        <w:rPr>
          <w:sz w:val="22"/>
          <w:szCs w:val="22"/>
        </w:rPr>
        <w:t>w odpowiednim rejestrze</w:t>
      </w:r>
      <w:r w:rsidR="006B2633" w:rsidRPr="00DF686A">
        <w:rPr>
          <w:sz w:val="22"/>
          <w:szCs w:val="22"/>
        </w:rPr>
        <w:t xml:space="preserve"> zakupu</w:t>
      </w:r>
      <w:r w:rsidR="00351103" w:rsidRPr="00DF686A">
        <w:rPr>
          <w:sz w:val="22"/>
          <w:szCs w:val="22"/>
        </w:rPr>
        <w:t>, d</w:t>
      </w:r>
      <w:r w:rsidR="0074364D" w:rsidRPr="00DF686A">
        <w:rPr>
          <w:sz w:val="22"/>
          <w:szCs w:val="22"/>
        </w:rPr>
        <w:t>rugi egzemplarz dokumentu OT wraz z kopią faktury i protokołu odbioru przechowywany jest</w:t>
      </w:r>
      <w:r w:rsidR="00894A05">
        <w:rPr>
          <w:sz w:val="22"/>
          <w:szCs w:val="22"/>
        </w:rPr>
        <w:t xml:space="preserve"> w</w:t>
      </w:r>
      <w:r w:rsidR="0074364D" w:rsidRPr="00DF686A">
        <w:rPr>
          <w:sz w:val="22"/>
          <w:szCs w:val="22"/>
        </w:rPr>
        <w:t xml:space="preserve"> </w:t>
      </w:r>
      <w:r w:rsidR="00061ED9" w:rsidRPr="00DF686A">
        <w:rPr>
          <w:sz w:val="22"/>
          <w:szCs w:val="22"/>
        </w:rPr>
        <w:t>jednostce organizacyjnej</w:t>
      </w:r>
      <w:r w:rsidR="00894A05">
        <w:rPr>
          <w:sz w:val="22"/>
          <w:szCs w:val="22"/>
        </w:rPr>
        <w:t>,</w:t>
      </w:r>
      <w:r w:rsidR="00061ED9" w:rsidRPr="00DF686A">
        <w:rPr>
          <w:sz w:val="22"/>
          <w:szCs w:val="22"/>
        </w:rPr>
        <w:t xml:space="preserve"> dla której środek trwały </w:t>
      </w:r>
      <w:r w:rsidR="00351103" w:rsidRPr="00DF686A">
        <w:rPr>
          <w:sz w:val="22"/>
          <w:szCs w:val="22"/>
        </w:rPr>
        <w:t xml:space="preserve">został </w:t>
      </w:r>
      <w:r w:rsidR="00061ED9" w:rsidRPr="00DF686A">
        <w:rPr>
          <w:sz w:val="22"/>
          <w:szCs w:val="22"/>
        </w:rPr>
        <w:t>zakupiony</w:t>
      </w:r>
      <w:r w:rsidR="00351103" w:rsidRPr="00DF686A">
        <w:rPr>
          <w:sz w:val="22"/>
          <w:szCs w:val="22"/>
        </w:rPr>
        <w:t>, t</w:t>
      </w:r>
      <w:r w:rsidR="00061ED9" w:rsidRPr="00DF686A">
        <w:rPr>
          <w:sz w:val="22"/>
          <w:szCs w:val="22"/>
        </w:rPr>
        <w:t xml:space="preserve">rzeci egzemplarz dokumentu OT przechowywany jest w </w:t>
      </w:r>
      <w:r w:rsidR="00FD479B" w:rsidRPr="00DF686A">
        <w:rPr>
          <w:sz w:val="22"/>
          <w:szCs w:val="22"/>
        </w:rPr>
        <w:t>Sekcji Ewidencji Majątkowej.</w:t>
      </w:r>
      <w:r w:rsidR="00351103" w:rsidRPr="00DF686A">
        <w:rPr>
          <w:sz w:val="22"/>
          <w:szCs w:val="22"/>
        </w:rPr>
        <w:t xml:space="preserve"> </w:t>
      </w:r>
    </w:p>
    <w:p w:rsidR="00DC30D0" w:rsidRPr="00DF686A" w:rsidRDefault="00DC30D0" w:rsidP="00DF686A">
      <w:pPr>
        <w:shd w:val="clear" w:color="auto" w:fill="FFFFFF"/>
        <w:ind w:left="720"/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W momencie wystawienia dokumentu OT </w:t>
      </w:r>
      <w:r w:rsidR="00351103" w:rsidRPr="00DF686A">
        <w:rPr>
          <w:sz w:val="22"/>
          <w:szCs w:val="22"/>
        </w:rPr>
        <w:t>w module majątek</w:t>
      </w:r>
      <w:r w:rsidR="007C545C" w:rsidRPr="00DF686A">
        <w:rPr>
          <w:sz w:val="22"/>
          <w:szCs w:val="22"/>
        </w:rPr>
        <w:t xml:space="preserve"> trwały</w:t>
      </w:r>
      <w:r w:rsidR="00DF65F8" w:rsidRPr="00DF686A">
        <w:rPr>
          <w:sz w:val="22"/>
          <w:szCs w:val="22"/>
        </w:rPr>
        <w:t xml:space="preserve"> </w:t>
      </w:r>
      <w:r w:rsidR="00ED6722" w:rsidRPr="00DF686A">
        <w:rPr>
          <w:sz w:val="22"/>
          <w:szCs w:val="22"/>
        </w:rPr>
        <w:t xml:space="preserve">zintegrowanego </w:t>
      </w:r>
      <w:r w:rsidRPr="00DF686A">
        <w:rPr>
          <w:sz w:val="22"/>
          <w:szCs w:val="22"/>
        </w:rPr>
        <w:t>system</w:t>
      </w:r>
      <w:r w:rsidR="00351103" w:rsidRPr="00DF686A">
        <w:rPr>
          <w:sz w:val="22"/>
          <w:szCs w:val="22"/>
        </w:rPr>
        <w:t>u</w:t>
      </w:r>
      <w:r w:rsidRPr="00DF686A">
        <w:rPr>
          <w:sz w:val="22"/>
          <w:szCs w:val="22"/>
        </w:rPr>
        <w:t xml:space="preserve"> </w:t>
      </w:r>
      <w:r w:rsidR="00351103" w:rsidRPr="00DF686A">
        <w:rPr>
          <w:sz w:val="22"/>
          <w:szCs w:val="22"/>
        </w:rPr>
        <w:t xml:space="preserve">komputerowego </w:t>
      </w:r>
      <w:r w:rsidRPr="00DF686A">
        <w:rPr>
          <w:sz w:val="22"/>
          <w:szCs w:val="22"/>
        </w:rPr>
        <w:t>gener</w:t>
      </w:r>
      <w:r w:rsidR="00351103" w:rsidRPr="00DF686A">
        <w:rPr>
          <w:sz w:val="22"/>
          <w:szCs w:val="22"/>
        </w:rPr>
        <w:t xml:space="preserve">owany jest </w:t>
      </w:r>
      <w:r w:rsidRPr="00DF686A">
        <w:rPr>
          <w:sz w:val="22"/>
          <w:szCs w:val="22"/>
        </w:rPr>
        <w:t>nr inwentarzowy:</w:t>
      </w:r>
    </w:p>
    <w:p w:rsidR="00DC30D0" w:rsidRPr="00DF686A" w:rsidRDefault="00DC30D0" w:rsidP="00DF686A">
      <w:pPr>
        <w:shd w:val="clear" w:color="auto" w:fill="FFFFFF"/>
        <w:ind w:firstLine="720"/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 - dla środków </w:t>
      </w:r>
      <w:r w:rsidR="00061ED9" w:rsidRPr="00DF686A">
        <w:rPr>
          <w:sz w:val="22"/>
          <w:szCs w:val="22"/>
        </w:rPr>
        <w:t xml:space="preserve"> trwałych </w:t>
      </w:r>
      <w:r w:rsidRPr="00DF686A">
        <w:rPr>
          <w:sz w:val="22"/>
          <w:szCs w:val="22"/>
        </w:rPr>
        <w:t xml:space="preserve">w konfiguracji </w:t>
      </w:r>
      <w:r w:rsidRPr="00DF686A">
        <w:rPr>
          <w:i/>
          <w:sz w:val="22"/>
          <w:szCs w:val="22"/>
        </w:rPr>
        <w:t>UJK/S/……./rok</w:t>
      </w:r>
      <w:r w:rsidRPr="00DF686A">
        <w:rPr>
          <w:sz w:val="22"/>
          <w:szCs w:val="22"/>
        </w:rPr>
        <w:t xml:space="preserve"> </w:t>
      </w:r>
    </w:p>
    <w:p w:rsidR="00DC30D0" w:rsidRPr="00DF686A" w:rsidRDefault="005F0F1E" w:rsidP="00DF686A">
      <w:pPr>
        <w:shd w:val="clear" w:color="auto" w:fill="FFFFFF"/>
        <w:ind w:firstLine="720"/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 </w:t>
      </w:r>
      <w:r w:rsidR="00DC30D0" w:rsidRPr="00DF686A">
        <w:rPr>
          <w:sz w:val="22"/>
          <w:szCs w:val="22"/>
        </w:rPr>
        <w:t xml:space="preserve">- dla środków </w:t>
      </w:r>
      <w:r w:rsidR="00061ED9" w:rsidRPr="00DF686A">
        <w:rPr>
          <w:sz w:val="22"/>
          <w:szCs w:val="22"/>
        </w:rPr>
        <w:t xml:space="preserve">trwałych </w:t>
      </w:r>
      <w:proofErr w:type="spellStart"/>
      <w:r w:rsidR="00DC30D0" w:rsidRPr="00DF686A">
        <w:rPr>
          <w:sz w:val="22"/>
          <w:szCs w:val="22"/>
        </w:rPr>
        <w:t>niskocennych</w:t>
      </w:r>
      <w:proofErr w:type="spellEnd"/>
      <w:r w:rsidR="00DC30D0" w:rsidRPr="00DF686A">
        <w:rPr>
          <w:sz w:val="22"/>
          <w:szCs w:val="22"/>
        </w:rPr>
        <w:t xml:space="preserve"> w konfiguracji </w:t>
      </w:r>
      <w:r w:rsidR="00DC30D0" w:rsidRPr="00DF686A">
        <w:rPr>
          <w:i/>
          <w:sz w:val="22"/>
          <w:szCs w:val="22"/>
        </w:rPr>
        <w:t>UJK/N/</w:t>
      </w:r>
      <w:r w:rsidR="002023E4" w:rsidRPr="00DF686A">
        <w:rPr>
          <w:i/>
          <w:sz w:val="22"/>
          <w:szCs w:val="22"/>
        </w:rPr>
        <w:t>…..</w:t>
      </w:r>
      <w:r w:rsidR="00DC30D0" w:rsidRPr="00DF686A">
        <w:rPr>
          <w:i/>
          <w:sz w:val="22"/>
          <w:szCs w:val="22"/>
        </w:rPr>
        <w:t>/rok</w:t>
      </w:r>
      <w:r w:rsidR="00DC30D0" w:rsidRPr="00DF686A">
        <w:rPr>
          <w:sz w:val="22"/>
          <w:szCs w:val="22"/>
        </w:rPr>
        <w:t xml:space="preserve"> </w:t>
      </w:r>
    </w:p>
    <w:p w:rsidR="00B738FA" w:rsidRPr="00DF686A" w:rsidRDefault="000B678E" w:rsidP="00FC6E4A">
      <w:pPr>
        <w:shd w:val="clear" w:color="auto" w:fill="FFFFFF"/>
        <w:ind w:left="720"/>
        <w:jc w:val="both"/>
        <w:rPr>
          <w:b/>
          <w:i/>
          <w:sz w:val="22"/>
          <w:szCs w:val="22"/>
        </w:rPr>
      </w:pPr>
      <w:r w:rsidRPr="00DF686A">
        <w:rPr>
          <w:sz w:val="22"/>
          <w:szCs w:val="22"/>
        </w:rPr>
        <w:t xml:space="preserve">Każdy dokument OT jest podpisywany </w:t>
      </w:r>
      <w:r w:rsidR="00F14B5F" w:rsidRPr="00DF686A">
        <w:rPr>
          <w:sz w:val="22"/>
          <w:szCs w:val="22"/>
        </w:rPr>
        <w:t xml:space="preserve">przez </w:t>
      </w:r>
      <w:r w:rsidRPr="00DF686A">
        <w:rPr>
          <w:sz w:val="22"/>
          <w:szCs w:val="22"/>
        </w:rPr>
        <w:t>osobę materialn</w:t>
      </w:r>
      <w:r w:rsidR="00F14B5F" w:rsidRPr="00DF686A">
        <w:rPr>
          <w:sz w:val="22"/>
          <w:szCs w:val="22"/>
        </w:rPr>
        <w:t>ie odpowiedzialną, co oznacza, że dany środek trwały jest przyjmowany na pole spisowe, które zostało powierzone jej odpowiedzialności. Ponadto przyjęcie środka trwałego do używania potwierdza swoim podpisem kierownik jednostki</w:t>
      </w:r>
      <w:r w:rsidR="008C5693" w:rsidRPr="00DF686A">
        <w:rPr>
          <w:sz w:val="22"/>
          <w:szCs w:val="22"/>
        </w:rPr>
        <w:t xml:space="preserve">, </w:t>
      </w:r>
      <w:r w:rsidR="00FC6E4A">
        <w:rPr>
          <w:sz w:val="22"/>
          <w:szCs w:val="22"/>
        </w:rPr>
        <w:br/>
      </w:r>
      <w:r w:rsidR="008C5693" w:rsidRPr="00DF686A">
        <w:rPr>
          <w:sz w:val="22"/>
          <w:szCs w:val="22"/>
        </w:rPr>
        <w:t xml:space="preserve">w której </w:t>
      </w:r>
      <w:r w:rsidR="003B69C7" w:rsidRPr="00DF686A">
        <w:rPr>
          <w:sz w:val="22"/>
          <w:szCs w:val="22"/>
        </w:rPr>
        <w:t xml:space="preserve">ten środek </w:t>
      </w:r>
      <w:r w:rsidR="008C5693" w:rsidRPr="00DF686A">
        <w:rPr>
          <w:sz w:val="22"/>
          <w:szCs w:val="22"/>
        </w:rPr>
        <w:t>będzie użytkowany.</w:t>
      </w:r>
      <w:r w:rsidR="00F14B5F" w:rsidRPr="00DF686A">
        <w:rPr>
          <w:sz w:val="22"/>
          <w:szCs w:val="22"/>
        </w:rPr>
        <w:t xml:space="preserve">  </w:t>
      </w:r>
      <w:r w:rsidR="00FC6E4A">
        <w:rPr>
          <w:b/>
          <w:i/>
          <w:sz w:val="22"/>
          <w:szCs w:val="22"/>
        </w:rPr>
        <w:t xml:space="preserve"> </w:t>
      </w:r>
    </w:p>
    <w:p w:rsidR="007F3D42" w:rsidRPr="00FC6E4A" w:rsidRDefault="00D12EDB" w:rsidP="003A0683">
      <w:pPr>
        <w:pStyle w:val="Akapitzlist"/>
        <w:numPr>
          <w:ilvl w:val="0"/>
          <w:numId w:val="25"/>
        </w:numPr>
        <w:shd w:val="clear" w:color="auto" w:fill="FFFFFF"/>
        <w:jc w:val="both"/>
        <w:rPr>
          <w:b/>
          <w:i/>
          <w:strike/>
          <w:sz w:val="22"/>
          <w:szCs w:val="22"/>
        </w:rPr>
      </w:pPr>
      <w:r w:rsidRPr="00FC6E4A">
        <w:rPr>
          <w:sz w:val="22"/>
          <w:szCs w:val="22"/>
        </w:rPr>
        <w:t>ZM</w:t>
      </w:r>
      <w:r w:rsidR="00FC6E4A">
        <w:rPr>
          <w:sz w:val="22"/>
          <w:szCs w:val="22"/>
        </w:rPr>
        <w:t xml:space="preserve"> – </w:t>
      </w:r>
      <w:r w:rsidR="00B738FA" w:rsidRPr="00FC6E4A">
        <w:rPr>
          <w:sz w:val="22"/>
          <w:szCs w:val="22"/>
        </w:rPr>
        <w:t>„Zmiana miejsca użytkowania" środków trwałych</w:t>
      </w:r>
      <w:r w:rsidRPr="00FC6E4A">
        <w:rPr>
          <w:sz w:val="22"/>
          <w:szCs w:val="22"/>
        </w:rPr>
        <w:t>; dokument ZM</w:t>
      </w:r>
      <w:r w:rsidR="00B738FA" w:rsidRPr="00FC6E4A">
        <w:rPr>
          <w:sz w:val="22"/>
          <w:szCs w:val="22"/>
        </w:rPr>
        <w:t xml:space="preserve"> w 3-ch egzemplarzach wystawia jednostka organizacyjna</w:t>
      </w:r>
      <w:r w:rsidR="00AD06B6" w:rsidRPr="00FC6E4A">
        <w:rPr>
          <w:sz w:val="22"/>
          <w:szCs w:val="22"/>
        </w:rPr>
        <w:t xml:space="preserve"> UJK</w:t>
      </w:r>
      <w:r w:rsidR="00B738FA" w:rsidRPr="00FC6E4A">
        <w:rPr>
          <w:sz w:val="22"/>
          <w:szCs w:val="22"/>
        </w:rPr>
        <w:t>,</w:t>
      </w:r>
      <w:r w:rsidR="00FC6E4A">
        <w:rPr>
          <w:sz w:val="22"/>
          <w:szCs w:val="22"/>
        </w:rPr>
        <w:t xml:space="preserve"> która użytkowała środek trwały;</w:t>
      </w:r>
      <w:r w:rsidR="00B738FA" w:rsidRPr="00FC6E4A">
        <w:rPr>
          <w:sz w:val="22"/>
          <w:szCs w:val="22"/>
        </w:rPr>
        <w:t xml:space="preserve"> </w:t>
      </w:r>
      <w:r w:rsidR="00FC6E4A">
        <w:rPr>
          <w:sz w:val="22"/>
          <w:szCs w:val="22"/>
        </w:rPr>
        <w:t>w</w:t>
      </w:r>
      <w:r w:rsidR="00002F1D" w:rsidRPr="00FC6E4A">
        <w:rPr>
          <w:sz w:val="22"/>
          <w:szCs w:val="22"/>
        </w:rPr>
        <w:t xml:space="preserve">szystkie egzemplarze dokumentu przekazywane są do Kanclerza, który po zatwierdzeniu przekazuje je do </w:t>
      </w:r>
      <w:r w:rsidR="00CD187D" w:rsidRPr="00FC6E4A">
        <w:rPr>
          <w:sz w:val="22"/>
          <w:szCs w:val="22"/>
        </w:rPr>
        <w:t>Sekcji Ewidencji Majątkowej</w:t>
      </w:r>
      <w:r w:rsidR="00FC6E4A">
        <w:rPr>
          <w:sz w:val="22"/>
          <w:szCs w:val="22"/>
        </w:rPr>
        <w:t>,</w:t>
      </w:r>
      <w:r w:rsidR="00673B87" w:rsidRPr="00FC6E4A">
        <w:rPr>
          <w:sz w:val="22"/>
          <w:szCs w:val="22"/>
        </w:rPr>
        <w:t xml:space="preserve"> </w:t>
      </w:r>
      <w:r w:rsidR="00002F1D" w:rsidRPr="00FC6E4A">
        <w:rPr>
          <w:sz w:val="22"/>
          <w:szCs w:val="22"/>
        </w:rPr>
        <w:t>a t</w:t>
      </w:r>
      <w:r w:rsidR="00673B87" w:rsidRPr="00FC6E4A">
        <w:rPr>
          <w:sz w:val="22"/>
          <w:szCs w:val="22"/>
        </w:rPr>
        <w:t>a</w:t>
      </w:r>
      <w:r w:rsidR="00002F1D" w:rsidRPr="00FC6E4A">
        <w:rPr>
          <w:sz w:val="22"/>
          <w:szCs w:val="22"/>
        </w:rPr>
        <w:t xml:space="preserve"> następnie przekazuje jeden egzemplarz do jednostki organizacyjnej użytkującej dotychczas dany środek trwały, </w:t>
      </w:r>
      <w:r w:rsidR="00B738FA" w:rsidRPr="00FC6E4A">
        <w:rPr>
          <w:sz w:val="22"/>
          <w:szCs w:val="22"/>
        </w:rPr>
        <w:t>drug</w:t>
      </w:r>
      <w:r w:rsidR="00002F1D" w:rsidRPr="00FC6E4A">
        <w:rPr>
          <w:sz w:val="22"/>
          <w:szCs w:val="22"/>
        </w:rPr>
        <w:t xml:space="preserve">i do </w:t>
      </w:r>
      <w:r w:rsidR="00B738FA" w:rsidRPr="00FC6E4A">
        <w:rPr>
          <w:sz w:val="22"/>
          <w:szCs w:val="22"/>
        </w:rPr>
        <w:t>jednostki,</w:t>
      </w:r>
      <w:r w:rsidR="00002F1D" w:rsidRPr="00FC6E4A">
        <w:rPr>
          <w:sz w:val="22"/>
          <w:szCs w:val="22"/>
        </w:rPr>
        <w:t xml:space="preserve"> </w:t>
      </w:r>
      <w:r w:rsidR="00B738FA" w:rsidRPr="00FC6E4A">
        <w:rPr>
          <w:sz w:val="22"/>
          <w:szCs w:val="22"/>
        </w:rPr>
        <w:t>która przyjmu</w:t>
      </w:r>
      <w:r w:rsidR="00002F1D" w:rsidRPr="00FC6E4A">
        <w:rPr>
          <w:sz w:val="22"/>
          <w:szCs w:val="22"/>
        </w:rPr>
        <w:t xml:space="preserve">je środek trwały </w:t>
      </w:r>
      <w:r w:rsidR="00FC6E4A">
        <w:rPr>
          <w:sz w:val="22"/>
          <w:szCs w:val="22"/>
        </w:rPr>
        <w:br/>
      </w:r>
      <w:r w:rsidR="00002F1D" w:rsidRPr="00FC6E4A">
        <w:rPr>
          <w:sz w:val="22"/>
          <w:szCs w:val="22"/>
        </w:rPr>
        <w:t>do użytkowania</w:t>
      </w:r>
      <w:r w:rsidR="00FC6E4A">
        <w:rPr>
          <w:sz w:val="22"/>
          <w:szCs w:val="22"/>
        </w:rPr>
        <w:t>,</w:t>
      </w:r>
      <w:r w:rsidR="00002F1D" w:rsidRPr="00FC6E4A">
        <w:rPr>
          <w:sz w:val="22"/>
          <w:szCs w:val="22"/>
        </w:rPr>
        <w:t xml:space="preserve"> a </w:t>
      </w:r>
      <w:r w:rsidR="00B738FA" w:rsidRPr="00FC6E4A">
        <w:rPr>
          <w:sz w:val="22"/>
          <w:szCs w:val="22"/>
        </w:rPr>
        <w:t> </w:t>
      </w:r>
      <w:r w:rsidR="00002F1D" w:rsidRPr="00FC6E4A">
        <w:rPr>
          <w:sz w:val="22"/>
          <w:szCs w:val="22"/>
        </w:rPr>
        <w:t>trzeci</w:t>
      </w:r>
      <w:r w:rsidR="00B738FA" w:rsidRPr="00FC6E4A">
        <w:rPr>
          <w:sz w:val="22"/>
          <w:szCs w:val="22"/>
        </w:rPr>
        <w:t xml:space="preserve"> dokument </w:t>
      </w:r>
      <w:r w:rsidRPr="00FC6E4A">
        <w:rPr>
          <w:sz w:val="22"/>
          <w:szCs w:val="22"/>
        </w:rPr>
        <w:t>Z</w:t>
      </w:r>
      <w:r w:rsidR="00B738FA" w:rsidRPr="00FC6E4A">
        <w:rPr>
          <w:sz w:val="22"/>
          <w:szCs w:val="22"/>
        </w:rPr>
        <w:t xml:space="preserve">M </w:t>
      </w:r>
      <w:r w:rsidR="00002F1D" w:rsidRPr="00FC6E4A">
        <w:rPr>
          <w:sz w:val="22"/>
          <w:szCs w:val="22"/>
        </w:rPr>
        <w:t xml:space="preserve">pozostawia </w:t>
      </w:r>
      <w:r w:rsidR="003C7594" w:rsidRPr="00FC6E4A">
        <w:rPr>
          <w:sz w:val="22"/>
          <w:szCs w:val="22"/>
        </w:rPr>
        <w:t xml:space="preserve">w </w:t>
      </w:r>
      <w:r w:rsidR="00673B87" w:rsidRPr="00FC6E4A">
        <w:rPr>
          <w:sz w:val="22"/>
          <w:szCs w:val="22"/>
        </w:rPr>
        <w:t>sekcji</w:t>
      </w:r>
      <w:r w:rsidR="00FC6E4A">
        <w:rPr>
          <w:sz w:val="22"/>
          <w:szCs w:val="22"/>
        </w:rPr>
        <w:t>,</w:t>
      </w:r>
    </w:p>
    <w:p w:rsidR="00DD56B5" w:rsidRPr="00FC6E4A" w:rsidRDefault="00DD56B5" w:rsidP="003A0683">
      <w:pPr>
        <w:pStyle w:val="Akapitzlist"/>
        <w:numPr>
          <w:ilvl w:val="0"/>
          <w:numId w:val="25"/>
        </w:numPr>
        <w:shd w:val="clear" w:color="auto" w:fill="FFFFFF"/>
        <w:jc w:val="both"/>
        <w:rPr>
          <w:b/>
          <w:i/>
          <w:strike/>
          <w:sz w:val="22"/>
          <w:szCs w:val="22"/>
        </w:rPr>
      </w:pPr>
      <w:r w:rsidRPr="00FC6E4A">
        <w:rPr>
          <w:sz w:val="22"/>
          <w:szCs w:val="22"/>
        </w:rPr>
        <w:t>ZO – „Zmiana osoby odpowiedzialnej</w:t>
      </w:r>
      <w:r w:rsidR="00894A05">
        <w:rPr>
          <w:sz w:val="22"/>
          <w:szCs w:val="22"/>
        </w:rPr>
        <w:t xml:space="preserve"> materialnie</w:t>
      </w:r>
      <w:r w:rsidRPr="00FC6E4A">
        <w:rPr>
          <w:sz w:val="22"/>
          <w:szCs w:val="22"/>
        </w:rPr>
        <w:t xml:space="preserve">" </w:t>
      </w:r>
      <w:r w:rsidR="00043645" w:rsidRPr="00FC6E4A">
        <w:rPr>
          <w:sz w:val="22"/>
          <w:szCs w:val="22"/>
        </w:rPr>
        <w:t xml:space="preserve">za </w:t>
      </w:r>
      <w:r w:rsidRPr="00FC6E4A">
        <w:rPr>
          <w:sz w:val="22"/>
          <w:szCs w:val="22"/>
        </w:rPr>
        <w:t>środ</w:t>
      </w:r>
      <w:r w:rsidR="00043645" w:rsidRPr="00FC6E4A">
        <w:rPr>
          <w:sz w:val="22"/>
          <w:szCs w:val="22"/>
        </w:rPr>
        <w:t>e</w:t>
      </w:r>
      <w:r w:rsidRPr="00FC6E4A">
        <w:rPr>
          <w:sz w:val="22"/>
          <w:szCs w:val="22"/>
        </w:rPr>
        <w:t>k trwały; dokument ZO w 3-ch egzemplarzach wystawia jednostka organizacyjna UJK,</w:t>
      </w:r>
      <w:r w:rsidR="00FC6E4A">
        <w:rPr>
          <w:sz w:val="22"/>
          <w:szCs w:val="22"/>
        </w:rPr>
        <w:t xml:space="preserve"> która użytkowała środek trwały; w</w:t>
      </w:r>
      <w:r w:rsidRPr="00FC6E4A">
        <w:rPr>
          <w:sz w:val="22"/>
          <w:szCs w:val="22"/>
        </w:rPr>
        <w:t xml:space="preserve">szystkie egzemplarze dokumentu przekazywane są do Kanclerza, który po zatwierdzeniu przekazuje je </w:t>
      </w:r>
      <w:r w:rsidR="00FC6E4A">
        <w:rPr>
          <w:sz w:val="22"/>
          <w:szCs w:val="22"/>
        </w:rPr>
        <w:br/>
      </w:r>
      <w:r w:rsidRPr="00FC6E4A">
        <w:rPr>
          <w:sz w:val="22"/>
          <w:szCs w:val="22"/>
        </w:rPr>
        <w:t xml:space="preserve">do </w:t>
      </w:r>
      <w:r w:rsidR="004C4E8D" w:rsidRPr="00FC6E4A">
        <w:rPr>
          <w:sz w:val="22"/>
          <w:szCs w:val="22"/>
        </w:rPr>
        <w:t>Sekcji Ewidencji Majątkowej</w:t>
      </w:r>
      <w:r w:rsidR="00FC6E4A">
        <w:rPr>
          <w:sz w:val="22"/>
          <w:szCs w:val="22"/>
        </w:rPr>
        <w:t>,</w:t>
      </w:r>
      <w:r w:rsidR="004C4E8D" w:rsidRPr="00FC6E4A">
        <w:rPr>
          <w:sz w:val="22"/>
          <w:szCs w:val="22"/>
        </w:rPr>
        <w:t xml:space="preserve"> </w:t>
      </w:r>
      <w:r w:rsidRPr="00FC6E4A">
        <w:rPr>
          <w:sz w:val="22"/>
          <w:szCs w:val="22"/>
        </w:rPr>
        <w:t>a t</w:t>
      </w:r>
      <w:r w:rsidR="00673B87" w:rsidRPr="00FC6E4A">
        <w:rPr>
          <w:sz w:val="22"/>
          <w:szCs w:val="22"/>
        </w:rPr>
        <w:t>a</w:t>
      </w:r>
      <w:r w:rsidRPr="00FC6E4A">
        <w:rPr>
          <w:sz w:val="22"/>
          <w:szCs w:val="22"/>
        </w:rPr>
        <w:t xml:space="preserve"> następnie przekazuje jeden egzemplarz do jednostki organizacyjnej użytkującej dotychczas dany środek trwały, drugi do jednostki, która przyjmuje środek trwały do użytkowania</w:t>
      </w:r>
      <w:r w:rsidR="00FC6E4A">
        <w:rPr>
          <w:sz w:val="22"/>
          <w:szCs w:val="22"/>
        </w:rPr>
        <w:t>,</w:t>
      </w:r>
      <w:r w:rsidRPr="00FC6E4A">
        <w:rPr>
          <w:sz w:val="22"/>
          <w:szCs w:val="22"/>
        </w:rPr>
        <w:t xml:space="preserve"> a  trzeci dokument ZO pozostawia w </w:t>
      </w:r>
      <w:r w:rsidR="00673B87" w:rsidRPr="00FC6E4A">
        <w:rPr>
          <w:sz w:val="22"/>
          <w:szCs w:val="22"/>
        </w:rPr>
        <w:t>sekcji</w:t>
      </w:r>
      <w:r w:rsidR="00FC6E4A">
        <w:rPr>
          <w:sz w:val="22"/>
          <w:szCs w:val="22"/>
        </w:rPr>
        <w:t>,</w:t>
      </w:r>
    </w:p>
    <w:p w:rsidR="00E11DD8" w:rsidRPr="00FC6E4A" w:rsidRDefault="00FC6E4A" w:rsidP="003A0683">
      <w:pPr>
        <w:pStyle w:val="Akapitzlist"/>
        <w:numPr>
          <w:ilvl w:val="0"/>
          <w:numId w:val="25"/>
        </w:numPr>
        <w:shd w:val="clear" w:color="auto" w:fill="FFFFFF"/>
        <w:jc w:val="both"/>
        <w:rPr>
          <w:b/>
          <w:i/>
          <w:strike/>
          <w:sz w:val="22"/>
          <w:szCs w:val="22"/>
        </w:rPr>
      </w:pPr>
      <w:r>
        <w:rPr>
          <w:sz w:val="22"/>
          <w:szCs w:val="22"/>
        </w:rPr>
        <w:t>p</w:t>
      </w:r>
      <w:r w:rsidR="007F3D42" w:rsidRPr="00FC6E4A">
        <w:rPr>
          <w:sz w:val="22"/>
          <w:szCs w:val="22"/>
        </w:rPr>
        <w:t>rotokół ujawnienia środka trwałego – sporządzany jest w 3-ech egzemplarzach</w:t>
      </w:r>
      <w:r w:rsidR="007C545C" w:rsidRPr="00FC6E4A">
        <w:rPr>
          <w:sz w:val="22"/>
          <w:szCs w:val="22"/>
        </w:rPr>
        <w:t xml:space="preserve"> przez Sekcję</w:t>
      </w:r>
      <w:r w:rsidR="004040BD" w:rsidRPr="00FC6E4A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4040BD" w:rsidRPr="00FC6E4A">
        <w:rPr>
          <w:sz w:val="22"/>
          <w:szCs w:val="22"/>
        </w:rPr>
        <w:t xml:space="preserve">ds. </w:t>
      </w:r>
      <w:r w:rsidR="007C545C" w:rsidRPr="00FC6E4A">
        <w:rPr>
          <w:sz w:val="22"/>
          <w:szCs w:val="22"/>
        </w:rPr>
        <w:t xml:space="preserve">Inwentaryzacji </w:t>
      </w:r>
      <w:r w:rsidR="00512237" w:rsidRPr="00FC6E4A">
        <w:rPr>
          <w:sz w:val="22"/>
          <w:szCs w:val="22"/>
        </w:rPr>
        <w:t>lub osobę materialnie odpowiedzialną</w:t>
      </w:r>
      <w:r w:rsidR="007F3D42" w:rsidRPr="00FC6E4A">
        <w:rPr>
          <w:sz w:val="22"/>
          <w:szCs w:val="22"/>
        </w:rPr>
        <w:t xml:space="preserve"> i powinien zawierać nazwę środka trwałego, przypuszczalny wiek oraz aktualną wartość rynkową uwzględniającą stopień zużycia </w:t>
      </w:r>
      <w:r>
        <w:rPr>
          <w:sz w:val="22"/>
          <w:szCs w:val="22"/>
        </w:rPr>
        <w:br/>
        <w:t>na dzień ujawnienia,</w:t>
      </w:r>
      <w:r w:rsidR="007F3D42" w:rsidRPr="00FC6E4A">
        <w:rPr>
          <w:sz w:val="22"/>
          <w:szCs w:val="22"/>
        </w:rPr>
        <w:t xml:space="preserve"> </w:t>
      </w:r>
    </w:p>
    <w:p w:rsidR="00E11DD8" w:rsidRDefault="00FC6E4A" w:rsidP="003A0683">
      <w:pPr>
        <w:numPr>
          <w:ilvl w:val="0"/>
          <w:numId w:val="2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93B64" w:rsidRPr="00DF686A">
        <w:rPr>
          <w:sz w:val="22"/>
          <w:szCs w:val="22"/>
        </w:rPr>
        <w:t>estawienie</w:t>
      </w:r>
      <w:r w:rsidR="00E11DD8" w:rsidRPr="00DF686A">
        <w:rPr>
          <w:sz w:val="22"/>
          <w:szCs w:val="22"/>
        </w:rPr>
        <w:t xml:space="preserve"> różnic inwentaryzacyjnych </w:t>
      </w:r>
      <w:r w:rsidR="00DD130F" w:rsidRPr="00DF686A">
        <w:rPr>
          <w:sz w:val="22"/>
          <w:szCs w:val="22"/>
        </w:rPr>
        <w:t xml:space="preserve">– </w:t>
      </w:r>
      <w:r w:rsidR="00E11DD8" w:rsidRPr="00DF686A">
        <w:rPr>
          <w:sz w:val="22"/>
          <w:szCs w:val="22"/>
        </w:rPr>
        <w:t>nadwyżk</w:t>
      </w:r>
      <w:r w:rsidR="007C545C" w:rsidRPr="00DF686A">
        <w:rPr>
          <w:sz w:val="22"/>
          <w:szCs w:val="22"/>
        </w:rPr>
        <w:t>a</w:t>
      </w:r>
      <w:r w:rsidR="00DD130F" w:rsidRPr="00DF686A">
        <w:rPr>
          <w:sz w:val="22"/>
          <w:szCs w:val="22"/>
        </w:rPr>
        <w:t xml:space="preserve"> </w:t>
      </w:r>
      <w:r w:rsidR="00964F42" w:rsidRPr="00DF686A">
        <w:rPr>
          <w:sz w:val="22"/>
          <w:szCs w:val="22"/>
        </w:rPr>
        <w:t>-</w:t>
      </w:r>
      <w:r w:rsidR="00E17C63" w:rsidRPr="00DF686A">
        <w:rPr>
          <w:sz w:val="22"/>
          <w:szCs w:val="22"/>
        </w:rPr>
        <w:t xml:space="preserve"> </w:t>
      </w:r>
      <w:r w:rsidR="00964F42" w:rsidRPr="00DF686A">
        <w:rPr>
          <w:sz w:val="22"/>
          <w:szCs w:val="22"/>
        </w:rPr>
        <w:t xml:space="preserve">dokument </w:t>
      </w:r>
      <w:r w:rsidR="00E17C63" w:rsidRPr="00DF686A">
        <w:rPr>
          <w:sz w:val="22"/>
          <w:szCs w:val="22"/>
        </w:rPr>
        <w:t>sporządzany</w:t>
      </w:r>
      <w:r w:rsidR="000F657C" w:rsidRPr="00DF686A">
        <w:rPr>
          <w:sz w:val="22"/>
          <w:szCs w:val="22"/>
        </w:rPr>
        <w:t xml:space="preserve"> w </w:t>
      </w:r>
      <w:r w:rsidR="00DF0EB4" w:rsidRPr="00DF686A">
        <w:rPr>
          <w:sz w:val="22"/>
          <w:szCs w:val="22"/>
        </w:rPr>
        <w:t>2</w:t>
      </w:r>
      <w:r w:rsidR="004040BD" w:rsidRPr="00DF686A">
        <w:rPr>
          <w:sz w:val="22"/>
          <w:szCs w:val="22"/>
        </w:rPr>
        <w:t xml:space="preserve"> egzemplarzach</w:t>
      </w:r>
      <w:r w:rsidR="000F657C" w:rsidRPr="00DF686A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17C63" w:rsidRPr="00DF686A">
        <w:rPr>
          <w:sz w:val="22"/>
          <w:szCs w:val="22"/>
        </w:rPr>
        <w:t xml:space="preserve">w </w:t>
      </w:r>
      <w:r w:rsidR="004040BD" w:rsidRPr="00DF686A">
        <w:rPr>
          <w:sz w:val="22"/>
          <w:szCs w:val="22"/>
        </w:rPr>
        <w:t xml:space="preserve">Sekcji Ewidencji Majątkowej </w:t>
      </w:r>
      <w:r w:rsidR="00E17C63" w:rsidRPr="00DF686A">
        <w:rPr>
          <w:sz w:val="22"/>
          <w:szCs w:val="22"/>
        </w:rPr>
        <w:t>po zakończeniu procedury rozliczania spisu inwentaryzacyjnego</w:t>
      </w:r>
      <w:r>
        <w:rPr>
          <w:sz w:val="22"/>
          <w:szCs w:val="22"/>
        </w:rPr>
        <w:t>,</w:t>
      </w:r>
    </w:p>
    <w:p w:rsidR="00FC6E4A" w:rsidRDefault="00FC6E4A" w:rsidP="003A0683">
      <w:pPr>
        <w:numPr>
          <w:ilvl w:val="0"/>
          <w:numId w:val="2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738FA" w:rsidRPr="00FC6E4A">
        <w:rPr>
          <w:sz w:val="22"/>
          <w:szCs w:val="22"/>
        </w:rPr>
        <w:t>nne dokumenty świadczące o przekazaniu środka trwałego na rzecz Uczelni (np. decyzje</w:t>
      </w:r>
      <w:r w:rsidR="00763083" w:rsidRPr="00FC6E4A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B738FA" w:rsidRPr="00FC6E4A">
        <w:rPr>
          <w:sz w:val="22"/>
          <w:szCs w:val="22"/>
        </w:rPr>
        <w:t>o darowiźnie</w:t>
      </w:r>
      <w:r w:rsidR="00F0288D" w:rsidRPr="00FC6E4A">
        <w:rPr>
          <w:sz w:val="22"/>
          <w:szCs w:val="22"/>
        </w:rPr>
        <w:t>)</w:t>
      </w:r>
      <w:r w:rsidR="00B738FA" w:rsidRPr="00FC6E4A">
        <w:rPr>
          <w:sz w:val="22"/>
          <w:szCs w:val="22"/>
        </w:rPr>
        <w:t>.</w:t>
      </w:r>
    </w:p>
    <w:p w:rsidR="005A2B15" w:rsidRPr="00FC6E4A" w:rsidRDefault="005A2B15" w:rsidP="003A0683">
      <w:pPr>
        <w:pStyle w:val="Akapitzlist"/>
        <w:numPr>
          <w:ilvl w:val="0"/>
          <w:numId w:val="24"/>
        </w:numPr>
        <w:shd w:val="clear" w:color="auto" w:fill="FFFFFF"/>
        <w:jc w:val="both"/>
        <w:rPr>
          <w:sz w:val="22"/>
          <w:szCs w:val="22"/>
        </w:rPr>
      </w:pPr>
      <w:r w:rsidRPr="00FC6E4A">
        <w:rPr>
          <w:sz w:val="22"/>
          <w:szCs w:val="22"/>
        </w:rPr>
        <w:t>Podstawą dokumentowania rozchodu środków trwałych są następujące dowody:</w:t>
      </w:r>
    </w:p>
    <w:p w:rsidR="00E11DD8" w:rsidRPr="00DF686A" w:rsidRDefault="00E11DD8" w:rsidP="003A0683">
      <w:pPr>
        <w:pStyle w:val="Tekstpodstawowy3"/>
        <w:numPr>
          <w:ilvl w:val="0"/>
          <w:numId w:val="5"/>
        </w:numPr>
        <w:rPr>
          <w:color w:val="auto"/>
          <w:sz w:val="22"/>
          <w:szCs w:val="22"/>
        </w:rPr>
      </w:pPr>
      <w:r w:rsidRPr="00DF686A">
        <w:rPr>
          <w:color w:val="auto"/>
          <w:sz w:val="22"/>
          <w:szCs w:val="22"/>
        </w:rPr>
        <w:t xml:space="preserve">LT - „Likwidacja środka trwałego" </w:t>
      </w:r>
      <w:r w:rsidR="003C7594" w:rsidRPr="00DF686A">
        <w:rPr>
          <w:color w:val="auto"/>
          <w:sz w:val="22"/>
          <w:szCs w:val="22"/>
        </w:rPr>
        <w:t>–</w:t>
      </w:r>
      <w:r w:rsidRPr="00DF686A">
        <w:rPr>
          <w:color w:val="auto"/>
          <w:sz w:val="22"/>
          <w:szCs w:val="22"/>
        </w:rPr>
        <w:t xml:space="preserve"> </w:t>
      </w:r>
      <w:r w:rsidR="003C7594" w:rsidRPr="00DF686A">
        <w:rPr>
          <w:color w:val="auto"/>
          <w:sz w:val="22"/>
          <w:szCs w:val="22"/>
        </w:rPr>
        <w:t>dokument sporządzany przez Komisję Likwidacyjną</w:t>
      </w:r>
      <w:r w:rsidR="00FC6E4A">
        <w:rPr>
          <w:color w:val="auto"/>
          <w:sz w:val="22"/>
          <w:szCs w:val="22"/>
        </w:rPr>
        <w:t xml:space="preserve"> wg zasad określonych odrębnym z</w:t>
      </w:r>
      <w:r w:rsidR="003C7594" w:rsidRPr="00DF686A">
        <w:rPr>
          <w:color w:val="auto"/>
          <w:sz w:val="22"/>
          <w:szCs w:val="22"/>
        </w:rPr>
        <w:t>arządzeniem Rektora</w:t>
      </w:r>
      <w:r w:rsidR="00163966" w:rsidRPr="00DF686A">
        <w:rPr>
          <w:color w:val="auto"/>
          <w:sz w:val="22"/>
          <w:szCs w:val="22"/>
        </w:rPr>
        <w:t>,</w:t>
      </w:r>
      <w:r w:rsidRPr="00DF686A">
        <w:rPr>
          <w:color w:val="auto"/>
          <w:sz w:val="22"/>
          <w:szCs w:val="22"/>
        </w:rPr>
        <w:t xml:space="preserve"> </w:t>
      </w:r>
    </w:p>
    <w:p w:rsidR="007C545C" w:rsidRPr="00DF686A" w:rsidRDefault="00AD06B6" w:rsidP="003A0683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ZM - „Zmiana miejsca użytkowania" środków trwałych, </w:t>
      </w:r>
      <w:r w:rsidR="00EA16EB" w:rsidRPr="00DF686A">
        <w:rPr>
          <w:sz w:val="22"/>
          <w:szCs w:val="22"/>
        </w:rPr>
        <w:t xml:space="preserve">dokument </w:t>
      </w:r>
      <w:r w:rsidRPr="00DF686A">
        <w:rPr>
          <w:sz w:val="22"/>
          <w:szCs w:val="22"/>
        </w:rPr>
        <w:t>opisany w pkt.</w:t>
      </w:r>
      <w:r w:rsidR="00FC6E4A">
        <w:rPr>
          <w:sz w:val="22"/>
          <w:szCs w:val="22"/>
        </w:rPr>
        <w:t xml:space="preserve"> </w:t>
      </w:r>
      <w:r w:rsidR="000A78AB" w:rsidRPr="00DF686A">
        <w:rPr>
          <w:sz w:val="22"/>
          <w:szCs w:val="22"/>
        </w:rPr>
        <w:t>2</w:t>
      </w:r>
      <w:r w:rsidRPr="00DF686A">
        <w:rPr>
          <w:sz w:val="22"/>
          <w:szCs w:val="22"/>
        </w:rPr>
        <w:t xml:space="preserve"> </w:t>
      </w:r>
      <w:r w:rsidR="00F81A8F" w:rsidRPr="00DF686A">
        <w:rPr>
          <w:sz w:val="22"/>
          <w:szCs w:val="22"/>
        </w:rPr>
        <w:t xml:space="preserve">niniejszego załącznika </w:t>
      </w:r>
      <w:r w:rsidR="00FC6E4A">
        <w:rPr>
          <w:sz w:val="22"/>
          <w:szCs w:val="22"/>
        </w:rPr>
        <w:t>dotyczącym przychodu,</w:t>
      </w:r>
    </w:p>
    <w:p w:rsidR="00DD56B5" w:rsidRPr="00DF686A" w:rsidRDefault="00DD56B5" w:rsidP="003A068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ZO – „Zmiana osoby odpowiedzialnej</w:t>
      </w:r>
      <w:r w:rsidR="00043645" w:rsidRPr="00DF686A">
        <w:rPr>
          <w:sz w:val="22"/>
          <w:szCs w:val="22"/>
        </w:rPr>
        <w:t xml:space="preserve"> materialnie</w:t>
      </w:r>
      <w:r w:rsidRPr="00DF686A">
        <w:rPr>
          <w:sz w:val="22"/>
          <w:szCs w:val="22"/>
        </w:rPr>
        <w:t xml:space="preserve">" </w:t>
      </w:r>
      <w:r w:rsidR="00043645" w:rsidRPr="00DF686A">
        <w:rPr>
          <w:sz w:val="22"/>
          <w:szCs w:val="22"/>
        </w:rPr>
        <w:t xml:space="preserve">za </w:t>
      </w:r>
      <w:r w:rsidRPr="00DF686A">
        <w:rPr>
          <w:sz w:val="22"/>
          <w:szCs w:val="22"/>
        </w:rPr>
        <w:t>środ</w:t>
      </w:r>
      <w:r w:rsidR="00043645" w:rsidRPr="00DF686A">
        <w:rPr>
          <w:sz w:val="22"/>
          <w:szCs w:val="22"/>
        </w:rPr>
        <w:t>e</w:t>
      </w:r>
      <w:r w:rsidRPr="00DF686A">
        <w:rPr>
          <w:sz w:val="22"/>
          <w:szCs w:val="22"/>
        </w:rPr>
        <w:t xml:space="preserve">k trwały; dokument </w:t>
      </w:r>
      <w:r w:rsidR="00BB323B" w:rsidRPr="00DF686A">
        <w:rPr>
          <w:sz w:val="22"/>
          <w:szCs w:val="22"/>
        </w:rPr>
        <w:t>opisany w pkt.</w:t>
      </w:r>
      <w:r w:rsidR="00FC6E4A">
        <w:rPr>
          <w:sz w:val="22"/>
          <w:szCs w:val="22"/>
        </w:rPr>
        <w:t xml:space="preserve"> </w:t>
      </w:r>
      <w:r w:rsidR="00BB323B" w:rsidRPr="00DF686A">
        <w:rPr>
          <w:sz w:val="22"/>
          <w:szCs w:val="22"/>
        </w:rPr>
        <w:t>3 niniejszego załącznika dotycząc</w:t>
      </w:r>
      <w:r w:rsidR="00043645" w:rsidRPr="00DF686A">
        <w:rPr>
          <w:sz w:val="22"/>
          <w:szCs w:val="22"/>
        </w:rPr>
        <w:t xml:space="preserve">ego </w:t>
      </w:r>
      <w:r w:rsidR="00FC6E4A">
        <w:rPr>
          <w:sz w:val="22"/>
          <w:szCs w:val="22"/>
        </w:rPr>
        <w:t>przychodu,</w:t>
      </w:r>
    </w:p>
    <w:p w:rsidR="00AD06B6" w:rsidRPr="00DF686A" w:rsidRDefault="00393B64" w:rsidP="003A068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Zestawienie</w:t>
      </w:r>
      <w:r w:rsidR="003525A8">
        <w:rPr>
          <w:sz w:val="22"/>
          <w:szCs w:val="22"/>
        </w:rPr>
        <w:t xml:space="preserve"> różnic inwentaryzacyjnych – </w:t>
      </w:r>
      <w:r w:rsidR="00AD06B6" w:rsidRPr="00DF686A">
        <w:rPr>
          <w:sz w:val="22"/>
          <w:szCs w:val="22"/>
        </w:rPr>
        <w:t xml:space="preserve">niedobór </w:t>
      </w:r>
      <w:r w:rsidR="00163966" w:rsidRPr="00DF686A">
        <w:rPr>
          <w:sz w:val="22"/>
          <w:szCs w:val="22"/>
        </w:rPr>
        <w:t>- dokument</w:t>
      </w:r>
      <w:r w:rsidR="00AD06B6" w:rsidRPr="00DF686A">
        <w:rPr>
          <w:sz w:val="22"/>
          <w:szCs w:val="22"/>
        </w:rPr>
        <w:t xml:space="preserve"> sporządzany w </w:t>
      </w:r>
      <w:r w:rsidR="004040BD" w:rsidRPr="00DF686A">
        <w:rPr>
          <w:sz w:val="22"/>
          <w:szCs w:val="22"/>
        </w:rPr>
        <w:t>2 egzemplarzach</w:t>
      </w:r>
      <w:r w:rsidR="00AD06B6" w:rsidRPr="00DF686A">
        <w:rPr>
          <w:sz w:val="22"/>
          <w:szCs w:val="22"/>
        </w:rPr>
        <w:t xml:space="preserve"> </w:t>
      </w:r>
      <w:r w:rsidR="00FC6E4A">
        <w:rPr>
          <w:sz w:val="22"/>
          <w:szCs w:val="22"/>
        </w:rPr>
        <w:br/>
      </w:r>
      <w:r w:rsidR="00AD06B6" w:rsidRPr="00DF686A">
        <w:rPr>
          <w:sz w:val="22"/>
          <w:szCs w:val="22"/>
        </w:rPr>
        <w:t xml:space="preserve">w </w:t>
      </w:r>
      <w:r w:rsidR="004040BD" w:rsidRPr="00DF686A">
        <w:rPr>
          <w:sz w:val="22"/>
          <w:szCs w:val="22"/>
        </w:rPr>
        <w:t xml:space="preserve">Sekcji Ewidencji Majątkowej </w:t>
      </w:r>
      <w:r w:rsidR="00AD06B6" w:rsidRPr="00DF686A">
        <w:rPr>
          <w:sz w:val="22"/>
          <w:szCs w:val="22"/>
        </w:rPr>
        <w:t>po zakończeniu procedury rozliczania spisu inwentaryzacyjnego (</w:t>
      </w:r>
      <w:r w:rsidR="00163966" w:rsidRPr="00DF686A">
        <w:rPr>
          <w:sz w:val="22"/>
          <w:szCs w:val="22"/>
        </w:rPr>
        <w:t xml:space="preserve">analogicznie </w:t>
      </w:r>
      <w:r w:rsidR="00FC6E4A">
        <w:rPr>
          <w:sz w:val="22"/>
          <w:szCs w:val="22"/>
        </w:rPr>
        <w:t>jak w przypadku nadwyżki),</w:t>
      </w:r>
    </w:p>
    <w:p w:rsidR="000A78AB" w:rsidRPr="00DF686A" w:rsidRDefault="003525A8" w:rsidP="003A0683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PT – </w:t>
      </w:r>
      <w:r w:rsidR="000A78AB" w:rsidRPr="00DF686A">
        <w:rPr>
          <w:sz w:val="22"/>
          <w:szCs w:val="22"/>
        </w:rPr>
        <w:t>„Protokół przekazan</w:t>
      </w:r>
      <w:r w:rsidR="00FC6E4A">
        <w:rPr>
          <w:sz w:val="22"/>
          <w:szCs w:val="22"/>
        </w:rPr>
        <w:t>ia - przejęcia środka trwałego”; d</w:t>
      </w:r>
      <w:r w:rsidR="000A78AB" w:rsidRPr="00DF686A">
        <w:rPr>
          <w:sz w:val="22"/>
          <w:szCs w:val="22"/>
        </w:rPr>
        <w:t>okument PT służy do udokumentowania nieodpłatnego przekazania środka</w:t>
      </w:r>
      <w:r w:rsidR="00FC6E4A">
        <w:rPr>
          <w:sz w:val="22"/>
          <w:szCs w:val="22"/>
        </w:rPr>
        <w:t xml:space="preserve"> trwałego jednostce zewnętrznej; d</w:t>
      </w:r>
      <w:r w:rsidR="000A78AB" w:rsidRPr="00DF686A">
        <w:rPr>
          <w:sz w:val="22"/>
          <w:szCs w:val="22"/>
        </w:rPr>
        <w:t xml:space="preserve">owód ten winien być sporządzony w 4-ech egzemplarzach tzn. 2 egzemplarze dla przyjmującego środek trwały i dwa </w:t>
      </w:r>
      <w:r w:rsidR="00FC6E4A">
        <w:rPr>
          <w:sz w:val="22"/>
          <w:szCs w:val="22"/>
        </w:rPr>
        <w:br/>
      </w:r>
      <w:r w:rsidR="000A78AB" w:rsidRPr="00DF686A">
        <w:rPr>
          <w:sz w:val="22"/>
          <w:szCs w:val="22"/>
        </w:rPr>
        <w:t>dla UJK</w:t>
      </w:r>
      <w:r>
        <w:rPr>
          <w:sz w:val="22"/>
          <w:szCs w:val="22"/>
        </w:rPr>
        <w:t xml:space="preserve">, jako jednostki przekazującej </w:t>
      </w:r>
      <w:r w:rsidR="000A78AB" w:rsidRPr="00DF686A">
        <w:rPr>
          <w:sz w:val="22"/>
          <w:szCs w:val="22"/>
        </w:rPr>
        <w:t xml:space="preserve">oryginały dokumentów dla </w:t>
      </w:r>
      <w:r w:rsidR="00FC6E4A">
        <w:rPr>
          <w:sz w:val="22"/>
          <w:szCs w:val="22"/>
        </w:rPr>
        <w:t>Sekcji Ewidencji Majątkowej;</w:t>
      </w:r>
      <w:r w:rsidR="004040BD" w:rsidRPr="00DF686A">
        <w:rPr>
          <w:sz w:val="22"/>
          <w:szCs w:val="22"/>
        </w:rPr>
        <w:t xml:space="preserve"> </w:t>
      </w:r>
      <w:r w:rsidR="00FC6E4A">
        <w:rPr>
          <w:sz w:val="22"/>
          <w:szCs w:val="22"/>
        </w:rPr>
        <w:t>w</w:t>
      </w:r>
      <w:r w:rsidR="000A78AB" w:rsidRPr="00DF686A">
        <w:rPr>
          <w:sz w:val="22"/>
          <w:szCs w:val="22"/>
        </w:rPr>
        <w:t xml:space="preserve">ystawcą dokumentu jest jednostka przekazująca środek trwały, która określa rodzaj i nazwę środka </w:t>
      </w:r>
      <w:r w:rsidR="000A78AB" w:rsidRPr="00DF686A">
        <w:rPr>
          <w:sz w:val="22"/>
          <w:szCs w:val="22"/>
        </w:rPr>
        <w:lastRenderedPageBreak/>
        <w:t>trwałego, dane dotyczące wartości począt</w:t>
      </w:r>
      <w:r w:rsidR="00FC6E4A">
        <w:rPr>
          <w:sz w:val="22"/>
          <w:szCs w:val="22"/>
        </w:rPr>
        <w:t>kowej i dotychczasowe umorzenie; z</w:t>
      </w:r>
      <w:r w:rsidR="000A78AB" w:rsidRPr="00DF686A">
        <w:rPr>
          <w:sz w:val="22"/>
          <w:szCs w:val="22"/>
        </w:rPr>
        <w:t xml:space="preserve">godność merytoryczną przebiegu zdarzenia gospodarczego z wystawionym dokumentem księgowym potwierdza podpisem </w:t>
      </w:r>
      <w:r w:rsidR="00FC6E4A">
        <w:rPr>
          <w:sz w:val="22"/>
          <w:szCs w:val="22"/>
        </w:rPr>
        <w:br/>
      </w:r>
      <w:r w:rsidR="000A78AB" w:rsidRPr="00DF686A">
        <w:rPr>
          <w:sz w:val="22"/>
          <w:szCs w:val="22"/>
        </w:rPr>
        <w:t>i pieczątką imienną kierownik jednostki organizacyjnej, w której środek trwały będzie używany, akceptuj</w:t>
      </w:r>
      <w:r w:rsidR="00FC6E4A">
        <w:rPr>
          <w:sz w:val="22"/>
          <w:szCs w:val="22"/>
        </w:rPr>
        <w:t>e Kwestor i zatwierdza Kanclerz,</w:t>
      </w:r>
    </w:p>
    <w:p w:rsidR="000B44B7" w:rsidRPr="00FC6E4A" w:rsidRDefault="00FC6E4A" w:rsidP="003A0683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B44B7" w:rsidRPr="00DF686A">
        <w:rPr>
          <w:sz w:val="22"/>
          <w:szCs w:val="22"/>
        </w:rPr>
        <w:t>nne dokumenty świadczące o rozchodzie środka trwałego używanego w Uczelni.</w:t>
      </w:r>
    </w:p>
    <w:p w:rsidR="00B738FA" w:rsidRPr="00FC6E4A" w:rsidRDefault="00B738FA" w:rsidP="003A0683">
      <w:pPr>
        <w:pStyle w:val="Akapitzlist"/>
        <w:numPr>
          <w:ilvl w:val="0"/>
          <w:numId w:val="24"/>
        </w:numPr>
        <w:shd w:val="clear" w:color="auto" w:fill="FFFFFF"/>
        <w:jc w:val="both"/>
        <w:rPr>
          <w:sz w:val="22"/>
          <w:szCs w:val="22"/>
        </w:rPr>
      </w:pPr>
      <w:r w:rsidRPr="00FC6E4A">
        <w:rPr>
          <w:sz w:val="22"/>
          <w:szCs w:val="22"/>
        </w:rPr>
        <w:t xml:space="preserve">Wzory dokumentów wymienionych w </w:t>
      </w:r>
      <w:r w:rsidRPr="00FC6E4A">
        <w:rPr>
          <w:bCs/>
          <w:sz w:val="22"/>
          <w:szCs w:val="22"/>
        </w:rPr>
        <w:t>§</w:t>
      </w:r>
      <w:r w:rsidR="005A22D3" w:rsidRPr="00FC6E4A">
        <w:rPr>
          <w:bCs/>
          <w:sz w:val="22"/>
          <w:szCs w:val="22"/>
        </w:rPr>
        <w:t>7</w:t>
      </w:r>
      <w:r w:rsidRPr="00FC6E4A">
        <w:rPr>
          <w:bCs/>
          <w:sz w:val="22"/>
          <w:szCs w:val="22"/>
        </w:rPr>
        <w:t xml:space="preserve"> stanowią załączniki do niniejszego zarządzenia.</w:t>
      </w:r>
      <w:r w:rsidRPr="00FC6E4A">
        <w:rPr>
          <w:b/>
          <w:bCs/>
          <w:sz w:val="22"/>
          <w:szCs w:val="22"/>
        </w:rPr>
        <w:t xml:space="preserve"> </w:t>
      </w:r>
    </w:p>
    <w:p w:rsidR="00E46AD1" w:rsidRPr="00DF686A" w:rsidRDefault="00E46AD1" w:rsidP="00FC6E4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738FA" w:rsidRPr="00FC6E4A" w:rsidRDefault="00297E84" w:rsidP="003525A8">
      <w:pPr>
        <w:shd w:val="clear" w:color="auto" w:fill="FFFFFF"/>
        <w:jc w:val="center"/>
        <w:rPr>
          <w:bCs/>
          <w:sz w:val="22"/>
          <w:szCs w:val="22"/>
        </w:rPr>
      </w:pPr>
      <w:r w:rsidRPr="00DF686A">
        <w:rPr>
          <w:bCs/>
          <w:sz w:val="22"/>
          <w:szCs w:val="22"/>
        </w:rPr>
        <w:t>§</w:t>
      </w:r>
      <w:r w:rsidR="003525A8">
        <w:rPr>
          <w:bCs/>
          <w:sz w:val="22"/>
          <w:szCs w:val="22"/>
        </w:rPr>
        <w:t xml:space="preserve"> </w:t>
      </w:r>
      <w:r w:rsidRPr="00DF686A">
        <w:rPr>
          <w:bCs/>
          <w:sz w:val="22"/>
          <w:szCs w:val="22"/>
        </w:rPr>
        <w:t>8</w:t>
      </w:r>
    </w:p>
    <w:p w:rsidR="00111221" w:rsidRDefault="00B738FA" w:rsidP="003A0683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111221">
        <w:rPr>
          <w:sz w:val="22"/>
          <w:szCs w:val="22"/>
        </w:rPr>
        <w:t xml:space="preserve">Środki trwałe </w:t>
      </w:r>
      <w:r w:rsidR="0075743F" w:rsidRPr="00111221">
        <w:rPr>
          <w:sz w:val="22"/>
          <w:szCs w:val="22"/>
        </w:rPr>
        <w:t xml:space="preserve">o jednostkowej wartości równej lub wyższej niż </w:t>
      </w:r>
      <w:r w:rsidR="00982F08" w:rsidRPr="00111221">
        <w:rPr>
          <w:sz w:val="22"/>
          <w:szCs w:val="22"/>
        </w:rPr>
        <w:t xml:space="preserve">1 000 </w:t>
      </w:r>
      <w:r w:rsidR="0075743F" w:rsidRPr="00111221">
        <w:rPr>
          <w:sz w:val="22"/>
          <w:szCs w:val="22"/>
        </w:rPr>
        <w:t>zł</w:t>
      </w:r>
      <w:r w:rsidR="00A27371" w:rsidRPr="00111221">
        <w:rPr>
          <w:sz w:val="22"/>
          <w:szCs w:val="22"/>
        </w:rPr>
        <w:t>,</w:t>
      </w:r>
      <w:r w:rsidR="0075743F" w:rsidRPr="00111221">
        <w:rPr>
          <w:sz w:val="22"/>
          <w:szCs w:val="22"/>
        </w:rPr>
        <w:t xml:space="preserve"> (z wy</w:t>
      </w:r>
      <w:r w:rsidR="006D1B79" w:rsidRPr="00111221">
        <w:rPr>
          <w:sz w:val="22"/>
          <w:szCs w:val="22"/>
        </w:rPr>
        <w:t xml:space="preserve">łączeniem </w:t>
      </w:r>
      <w:r w:rsidR="0075743F" w:rsidRPr="00111221">
        <w:rPr>
          <w:bCs/>
          <w:sz w:val="22"/>
          <w:szCs w:val="22"/>
        </w:rPr>
        <w:t>§</w:t>
      </w:r>
      <w:r w:rsidR="0075743F" w:rsidRPr="00111221">
        <w:rPr>
          <w:sz w:val="22"/>
          <w:szCs w:val="22"/>
        </w:rPr>
        <w:t xml:space="preserve"> 4 pkt </w:t>
      </w:r>
      <w:r w:rsidR="00C60E4F" w:rsidRPr="00111221">
        <w:rPr>
          <w:sz w:val="22"/>
          <w:szCs w:val="22"/>
        </w:rPr>
        <w:t>3</w:t>
      </w:r>
      <w:r w:rsidR="0075743F" w:rsidRPr="00111221">
        <w:rPr>
          <w:sz w:val="22"/>
          <w:szCs w:val="22"/>
        </w:rPr>
        <w:t>)</w:t>
      </w:r>
      <w:r w:rsidRPr="00111221">
        <w:rPr>
          <w:sz w:val="22"/>
          <w:szCs w:val="22"/>
        </w:rPr>
        <w:t xml:space="preserve"> </w:t>
      </w:r>
      <w:r w:rsidR="00111221">
        <w:rPr>
          <w:sz w:val="22"/>
          <w:szCs w:val="22"/>
        </w:rPr>
        <w:br/>
      </w:r>
      <w:r w:rsidRPr="00111221">
        <w:rPr>
          <w:sz w:val="22"/>
          <w:szCs w:val="22"/>
        </w:rPr>
        <w:t xml:space="preserve">z wyjątkiem budynków i obiektów inżynierii lądowej, podlegają amortyzacji i umorzeniu wg stawek amortyzacyjnych określonych </w:t>
      </w:r>
      <w:r w:rsidR="00126E7E" w:rsidRPr="00111221">
        <w:rPr>
          <w:sz w:val="22"/>
          <w:szCs w:val="22"/>
        </w:rPr>
        <w:t>w</w:t>
      </w:r>
      <w:r w:rsidR="00DD130F" w:rsidRPr="00111221">
        <w:rPr>
          <w:sz w:val="22"/>
          <w:szCs w:val="22"/>
        </w:rPr>
        <w:t xml:space="preserve"> </w:t>
      </w:r>
      <w:r w:rsidRPr="00111221">
        <w:rPr>
          <w:sz w:val="22"/>
          <w:szCs w:val="22"/>
        </w:rPr>
        <w:t>ustaw</w:t>
      </w:r>
      <w:r w:rsidR="00126E7E" w:rsidRPr="00111221">
        <w:rPr>
          <w:sz w:val="22"/>
          <w:szCs w:val="22"/>
        </w:rPr>
        <w:t>ie</w:t>
      </w:r>
      <w:r w:rsidRPr="00111221">
        <w:rPr>
          <w:sz w:val="22"/>
          <w:szCs w:val="22"/>
        </w:rPr>
        <w:t xml:space="preserve"> z dnia 15 lutego 1992 roku o podatku dochodowym od osób pr</w:t>
      </w:r>
      <w:r w:rsidR="0075743F" w:rsidRPr="00111221">
        <w:rPr>
          <w:sz w:val="22"/>
          <w:szCs w:val="22"/>
        </w:rPr>
        <w:t>awnych</w:t>
      </w:r>
      <w:r w:rsidR="006D1B79" w:rsidRPr="00111221">
        <w:rPr>
          <w:sz w:val="22"/>
          <w:szCs w:val="22"/>
        </w:rPr>
        <w:t xml:space="preserve"> </w:t>
      </w:r>
      <w:r w:rsidR="0075743F" w:rsidRPr="00111221">
        <w:rPr>
          <w:sz w:val="22"/>
          <w:szCs w:val="22"/>
        </w:rPr>
        <w:t>oraz tabeli amortyzacji bilansowej</w:t>
      </w:r>
      <w:r w:rsidR="00126E7E" w:rsidRPr="00111221">
        <w:rPr>
          <w:sz w:val="22"/>
          <w:szCs w:val="22"/>
        </w:rPr>
        <w:t xml:space="preserve"> UJK</w:t>
      </w:r>
      <w:r w:rsidRPr="00111221">
        <w:rPr>
          <w:sz w:val="22"/>
          <w:szCs w:val="22"/>
        </w:rPr>
        <w:t xml:space="preserve"> </w:t>
      </w:r>
      <w:r w:rsidR="0075743F" w:rsidRPr="00111221">
        <w:rPr>
          <w:sz w:val="22"/>
          <w:szCs w:val="22"/>
        </w:rPr>
        <w:t>według załącznika nr 1</w:t>
      </w:r>
      <w:r w:rsidR="00916761" w:rsidRPr="00111221">
        <w:rPr>
          <w:sz w:val="22"/>
          <w:szCs w:val="22"/>
        </w:rPr>
        <w:t>1</w:t>
      </w:r>
      <w:r w:rsidR="0075743F" w:rsidRPr="00111221">
        <w:rPr>
          <w:sz w:val="22"/>
          <w:szCs w:val="22"/>
        </w:rPr>
        <w:t xml:space="preserve"> do Zarządzenia</w:t>
      </w:r>
      <w:r w:rsidR="00A27371" w:rsidRPr="00111221">
        <w:rPr>
          <w:sz w:val="22"/>
          <w:szCs w:val="22"/>
        </w:rPr>
        <w:t xml:space="preserve"> (</w:t>
      </w:r>
      <w:r w:rsidR="00A27371" w:rsidRPr="00111221">
        <w:rPr>
          <w:bCs/>
          <w:sz w:val="22"/>
          <w:szCs w:val="22"/>
        </w:rPr>
        <w:t>dla środk</w:t>
      </w:r>
      <w:r w:rsidR="00501907">
        <w:rPr>
          <w:bCs/>
          <w:sz w:val="22"/>
          <w:szCs w:val="22"/>
        </w:rPr>
        <w:t>ów trwałych wykorzystywanych w U</w:t>
      </w:r>
      <w:r w:rsidR="00A27371" w:rsidRPr="00111221">
        <w:rPr>
          <w:bCs/>
          <w:sz w:val="22"/>
          <w:szCs w:val="22"/>
        </w:rPr>
        <w:t>czelni stawki amortyzacyjne ustala się zgodnie z okresem ich użytkowania)</w:t>
      </w:r>
      <w:r w:rsidR="0075743F" w:rsidRPr="00111221">
        <w:rPr>
          <w:sz w:val="22"/>
          <w:szCs w:val="22"/>
        </w:rPr>
        <w:t xml:space="preserve">, </w:t>
      </w:r>
      <w:r w:rsidRPr="00111221">
        <w:rPr>
          <w:sz w:val="22"/>
          <w:szCs w:val="22"/>
        </w:rPr>
        <w:t xml:space="preserve">w równych ratach co miesiąc począwszy od pierwszego miesiąca następującego </w:t>
      </w:r>
      <w:r w:rsidR="00111221">
        <w:rPr>
          <w:sz w:val="22"/>
          <w:szCs w:val="22"/>
        </w:rPr>
        <w:br/>
      </w:r>
      <w:r w:rsidRPr="00111221">
        <w:rPr>
          <w:sz w:val="22"/>
          <w:szCs w:val="22"/>
        </w:rPr>
        <w:t xml:space="preserve">po miesiącu w którym środek trwały przyjęto do używania, do końca tego miesiąca w którym następuje zrównanie sumy odpisów amortyzacyjnych z ich wartością początkową lub w którym postawiono </w:t>
      </w:r>
      <w:r w:rsidR="00111221">
        <w:rPr>
          <w:sz w:val="22"/>
          <w:szCs w:val="22"/>
        </w:rPr>
        <w:br/>
      </w:r>
      <w:r w:rsidRPr="00111221">
        <w:rPr>
          <w:sz w:val="22"/>
          <w:szCs w:val="22"/>
        </w:rPr>
        <w:t>je w stan likwidacji, zbyto lub stwierdzono ich niedobór.</w:t>
      </w:r>
    </w:p>
    <w:p w:rsidR="00A27371" w:rsidRPr="00111221" w:rsidRDefault="00A27371" w:rsidP="003A0683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111221">
        <w:rPr>
          <w:bCs/>
          <w:sz w:val="22"/>
          <w:szCs w:val="22"/>
        </w:rPr>
        <w:t xml:space="preserve">Dopuszcza się stosowanie 100 % amortyzacji środków trwałych do wartości początkowej określonej </w:t>
      </w:r>
      <w:r w:rsidR="00111221">
        <w:rPr>
          <w:bCs/>
          <w:sz w:val="22"/>
          <w:szCs w:val="22"/>
        </w:rPr>
        <w:br/>
      </w:r>
      <w:r w:rsidRPr="00111221">
        <w:rPr>
          <w:bCs/>
          <w:sz w:val="22"/>
          <w:szCs w:val="22"/>
        </w:rPr>
        <w:t xml:space="preserve">w przepisach podatkowych (z wyjątkiem tych o wartości początkowej niższej </w:t>
      </w:r>
      <w:r w:rsidR="00C87C59" w:rsidRPr="00111221">
        <w:rPr>
          <w:bCs/>
          <w:sz w:val="22"/>
          <w:szCs w:val="22"/>
        </w:rPr>
        <w:t xml:space="preserve">niż </w:t>
      </w:r>
      <w:r w:rsidRPr="00111221">
        <w:rPr>
          <w:bCs/>
          <w:sz w:val="22"/>
          <w:szCs w:val="22"/>
        </w:rPr>
        <w:t xml:space="preserve">1000 zł – granica ta nie dotyczy </w:t>
      </w:r>
      <w:r w:rsidR="00350B25" w:rsidRPr="00111221">
        <w:rPr>
          <w:bCs/>
          <w:sz w:val="22"/>
          <w:szCs w:val="22"/>
        </w:rPr>
        <w:t>środków</w:t>
      </w:r>
      <w:r w:rsidR="009F5368" w:rsidRPr="00111221">
        <w:rPr>
          <w:bCs/>
          <w:sz w:val="22"/>
          <w:szCs w:val="22"/>
        </w:rPr>
        <w:t xml:space="preserve"> trwałych</w:t>
      </w:r>
      <w:r w:rsidR="00350B25" w:rsidRPr="00111221">
        <w:rPr>
          <w:bCs/>
          <w:sz w:val="22"/>
          <w:szCs w:val="22"/>
        </w:rPr>
        <w:t xml:space="preserve">, których zakup </w:t>
      </w:r>
      <w:r w:rsidR="009F5368" w:rsidRPr="00111221">
        <w:rPr>
          <w:bCs/>
          <w:sz w:val="22"/>
          <w:szCs w:val="22"/>
        </w:rPr>
        <w:t xml:space="preserve">został </w:t>
      </w:r>
      <w:r w:rsidR="00350B25" w:rsidRPr="00111221">
        <w:rPr>
          <w:bCs/>
          <w:sz w:val="22"/>
          <w:szCs w:val="22"/>
        </w:rPr>
        <w:t>sfinansowan</w:t>
      </w:r>
      <w:r w:rsidR="009F5368" w:rsidRPr="00111221">
        <w:rPr>
          <w:bCs/>
          <w:sz w:val="22"/>
          <w:szCs w:val="22"/>
        </w:rPr>
        <w:t>y</w:t>
      </w:r>
      <w:r w:rsidR="00350B25" w:rsidRPr="00111221">
        <w:rPr>
          <w:bCs/>
          <w:sz w:val="22"/>
          <w:szCs w:val="22"/>
        </w:rPr>
        <w:t xml:space="preserve"> </w:t>
      </w:r>
      <w:r w:rsidR="009F5368" w:rsidRPr="00111221">
        <w:rPr>
          <w:bCs/>
          <w:sz w:val="22"/>
          <w:szCs w:val="22"/>
        </w:rPr>
        <w:t>lub współfinasowany ze źródeł zewnętrznych, między innymi UE</w:t>
      </w:r>
      <w:r w:rsidR="00C86171" w:rsidRPr="00111221">
        <w:rPr>
          <w:bCs/>
          <w:sz w:val="22"/>
          <w:szCs w:val="22"/>
        </w:rPr>
        <w:t>)</w:t>
      </w:r>
      <w:r w:rsidR="009F5368" w:rsidRPr="00111221">
        <w:rPr>
          <w:bCs/>
          <w:sz w:val="22"/>
          <w:szCs w:val="22"/>
        </w:rPr>
        <w:t>.</w:t>
      </w:r>
    </w:p>
    <w:p w:rsidR="00111221" w:rsidRDefault="00B738FA" w:rsidP="003A0683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111221">
        <w:rPr>
          <w:sz w:val="22"/>
          <w:szCs w:val="22"/>
        </w:rPr>
        <w:t>Wartość początkową budynków</w:t>
      </w:r>
      <w:r w:rsidR="004179D8" w:rsidRPr="00111221">
        <w:rPr>
          <w:sz w:val="22"/>
          <w:szCs w:val="22"/>
        </w:rPr>
        <w:t>, lokali</w:t>
      </w:r>
      <w:r w:rsidRPr="00111221">
        <w:rPr>
          <w:sz w:val="22"/>
          <w:szCs w:val="22"/>
        </w:rPr>
        <w:t xml:space="preserve"> </w:t>
      </w:r>
      <w:r w:rsidR="004179D8" w:rsidRPr="00111221">
        <w:rPr>
          <w:sz w:val="22"/>
          <w:szCs w:val="22"/>
        </w:rPr>
        <w:t xml:space="preserve">oraz </w:t>
      </w:r>
      <w:r w:rsidRPr="00111221">
        <w:rPr>
          <w:sz w:val="22"/>
          <w:szCs w:val="22"/>
        </w:rPr>
        <w:t xml:space="preserve">obiektów inżynierii lądowej zmniejsza odpis umorzenia </w:t>
      </w:r>
      <w:r w:rsidR="00111221">
        <w:rPr>
          <w:sz w:val="22"/>
          <w:szCs w:val="22"/>
        </w:rPr>
        <w:br/>
      </w:r>
      <w:r w:rsidRPr="00111221">
        <w:rPr>
          <w:sz w:val="22"/>
          <w:szCs w:val="22"/>
        </w:rPr>
        <w:t xml:space="preserve">w ciężar funduszu </w:t>
      </w:r>
      <w:r w:rsidR="00FB03EA" w:rsidRPr="00111221">
        <w:rPr>
          <w:sz w:val="22"/>
          <w:szCs w:val="22"/>
        </w:rPr>
        <w:t xml:space="preserve">zasadniczego </w:t>
      </w:r>
      <w:r w:rsidRPr="00111221">
        <w:rPr>
          <w:sz w:val="22"/>
          <w:szCs w:val="22"/>
        </w:rPr>
        <w:t>w okresie przyjętym jak w ustawie o podatku dochodowym.</w:t>
      </w:r>
    </w:p>
    <w:p w:rsidR="00ED3A97" w:rsidRDefault="00ED3A97" w:rsidP="003A0683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111221">
        <w:rPr>
          <w:sz w:val="22"/>
          <w:szCs w:val="22"/>
        </w:rPr>
        <w:t>Nakłady na budynki i lokale oraz obiekty inżynierii lądowej i wodnej</w:t>
      </w:r>
      <w:r w:rsidR="004653A3" w:rsidRPr="00111221">
        <w:rPr>
          <w:sz w:val="22"/>
          <w:szCs w:val="22"/>
        </w:rPr>
        <w:t xml:space="preserve"> </w:t>
      </w:r>
      <w:r w:rsidRPr="00111221">
        <w:rPr>
          <w:sz w:val="22"/>
          <w:szCs w:val="22"/>
        </w:rPr>
        <w:t>finansowane z subwencji</w:t>
      </w:r>
      <w:r w:rsidR="004653A3" w:rsidRPr="00111221">
        <w:rPr>
          <w:sz w:val="22"/>
          <w:szCs w:val="22"/>
        </w:rPr>
        <w:t xml:space="preserve"> </w:t>
      </w:r>
      <w:r w:rsidR="003525A8">
        <w:rPr>
          <w:sz w:val="22"/>
          <w:szCs w:val="22"/>
        </w:rPr>
        <w:br/>
      </w:r>
      <w:r w:rsidR="004653A3" w:rsidRPr="00111221">
        <w:rPr>
          <w:sz w:val="22"/>
          <w:szCs w:val="22"/>
        </w:rPr>
        <w:t>na utrzymanie</w:t>
      </w:r>
      <w:r w:rsidR="001834ED" w:rsidRPr="00111221">
        <w:rPr>
          <w:sz w:val="22"/>
          <w:szCs w:val="22"/>
        </w:rPr>
        <w:t xml:space="preserve"> </w:t>
      </w:r>
      <w:r w:rsidR="004653A3" w:rsidRPr="00111221">
        <w:rPr>
          <w:sz w:val="22"/>
          <w:szCs w:val="22"/>
        </w:rPr>
        <w:t>i rozwój potencjału dydaktycznego oraz badawczego zwiększają fundusz zasadniczy Uczelni (po zakończeniu i oddaniu do użytkowania inwestycji lub zwiększeniu wartości środka trwałego).</w:t>
      </w:r>
    </w:p>
    <w:p w:rsidR="004179D8" w:rsidRPr="00111221" w:rsidRDefault="001834ED" w:rsidP="003A0683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111221">
        <w:rPr>
          <w:sz w:val="22"/>
          <w:szCs w:val="22"/>
        </w:rPr>
        <w:t>Dla środków trwałych</w:t>
      </w:r>
      <w:r w:rsidR="004179D8" w:rsidRPr="00111221">
        <w:rPr>
          <w:sz w:val="22"/>
          <w:szCs w:val="22"/>
        </w:rPr>
        <w:t>:</w:t>
      </w:r>
    </w:p>
    <w:p w:rsidR="00111221" w:rsidRDefault="001834ED" w:rsidP="003A0683">
      <w:pPr>
        <w:pStyle w:val="Akapitzlist"/>
        <w:numPr>
          <w:ilvl w:val="0"/>
          <w:numId w:val="28"/>
        </w:numPr>
        <w:shd w:val="clear" w:color="auto" w:fill="FFFFFF"/>
        <w:jc w:val="both"/>
        <w:rPr>
          <w:sz w:val="22"/>
          <w:szCs w:val="22"/>
        </w:rPr>
      </w:pPr>
      <w:r w:rsidRPr="00111221">
        <w:rPr>
          <w:sz w:val="22"/>
          <w:szCs w:val="22"/>
        </w:rPr>
        <w:t xml:space="preserve">podlegających amortyzacji </w:t>
      </w:r>
      <w:r w:rsidR="00F700CE" w:rsidRPr="00111221">
        <w:rPr>
          <w:sz w:val="22"/>
          <w:szCs w:val="22"/>
        </w:rPr>
        <w:t>na zasadach ogólnych (</w:t>
      </w:r>
      <w:proofErr w:type="spellStart"/>
      <w:r w:rsidR="00F700CE" w:rsidRPr="00111221">
        <w:rPr>
          <w:sz w:val="22"/>
          <w:szCs w:val="22"/>
        </w:rPr>
        <w:t>zg</w:t>
      </w:r>
      <w:proofErr w:type="spellEnd"/>
      <w:r w:rsidR="00F700CE" w:rsidRPr="00111221">
        <w:rPr>
          <w:sz w:val="22"/>
          <w:szCs w:val="22"/>
        </w:rPr>
        <w:t>. z art.</w:t>
      </w:r>
      <w:r w:rsidR="003F7F68" w:rsidRPr="00111221">
        <w:rPr>
          <w:sz w:val="22"/>
          <w:szCs w:val="22"/>
        </w:rPr>
        <w:t xml:space="preserve"> </w:t>
      </w:r>
      <w:r w:rsidR="00111221">
        <w:rPr>
          <w:sz w:val="22"/>
          <w:szCs w:val="22"/>
        </w:rPr>
        <w:t xml:space="preserve">411 ustawy – Prawo o szkolnictwie </w:t>
      </w:r>
      <w:r w:rsidR="003525A8">
        <w:rPr>
          <w:sz w:val="22"/>
          <w:szCs w:val="22"/>
        </w:rPr>
        <w:t>wyższym i n</w:t>
      </w:r>
      <w:r w:rsidR="00F700CE" w:rsidRPr="00111221">
        <w:rPr>
          <w:sz w:val="22"/>
          <w:szCs w:val="22"/>
        </w:rPr>
        <w:t>auce)</w:t>
      </w:r>
      <w:r w:rsidR="00111221">
        <w:rPr>
          <w:sz w:val="22"/>
          <w:szCs w:val="22"/>
        </w:rPr>
        <w:t xml:space="preserve"> </w:t>
      </w:r>
      <w:r w:rsidRPr="00111221">
        <w:rPr>
          <w:sz w:val="22"/>
          <w:szCs w:val="22"/>
        </w:rPr>
        <w:t>oraz</w:t>
      </w:r>
      <w:r w:rsidR="00111221">
        <w:rPr>
          <w:sz w:val="22"/>
          <w:szCs w:val="22"/>
        </w:rPr>
        <w:t>,</w:t>
      </w:r>
      <w:r w:rsidRPr="00111221">
        <w:rPr>
          <w:sz w:val="22"/>
          <w:szCs w:val="22"/>
        </w:rPr>
        <w:t xml:space="preserve"> </w:t>
      </w:r>
    </w:p>
    <w:p w:rsidR="004179D8" w:rsidRPr="00111221" w:rsidRDefault="001834ED" w:rsidP="003A0683">
      <w:pPr>
        <w:pStyle w:val="Akapitzlist"/>
        <w:numPr>
          <w:ilvl w:val="0"/>
          <w:numId w:val="28"/>
        </w:numPr>
        <w:shd w:val="clear" w:color="auto" w:fill="FFFFFF"/>
        <w:jc w:val="both"/>
        <w:rPr>
          <w:sz w:val="22"/>
          <w:szCs w:val="22"/>
        </w:rPr>
      </w:pPr>
      <w:r w:rsidRPr="00111221">
        <w:rPr>
          <w:sz w:val="22"/>
          <w:szCs w:val="22"/>
        </w:rPr>
        <w:t>traktowanych na równi z nimi</w:t>
      </w:r>
      <w:r w:rsidR="00F700CE" w:rsidRPr="00111221">
        <w:rPr>
          <w:sz w:val="22"/>
          <w:szCs w:val="22"/>
        </w:rPr>
        <w:t>,</w:t>
      </w:r>
      <w:r w:rsidR="00501907">
        <w:rPr>
          <w:sz w:val="22"/>
          <w:szCs w:val="22"/>
        </w:rPr>
        <w:t xml:space="preserve"> zgodnie z ustalonymi w </w:t>
      </w:r>
      <w:r w:rsidRPr="00111221">
        <w:rPr>
          <w:sz w:val="22"/>
          <w:szCs w:val="22"/>
        </w:rPr>
        <w:t xml:space="preserve">czelni zasadami, sfinansowanych </w:t>
      </w:r>
      <w:r w:rsidR="00111221">
        <w:rPr>
          <w:sz w:val="22"/>
          <w:szCs w:val="22"/>
        </w:rPr>
        <w:br/>
      </w:r>
      <w:r w:rsidRPr="00111221">
        <w:rPr>
          <w:sz w:val="22"/>
          <w:szCs w:val="22"/>
        </w:rPr>
        <w:t>z subwencji na utrzymanie i rozwój potencja</w:t>
      </w:r>
      <w:r w:rsidR="004179D8" w:rsidRPr="00111221">
        <w:rPr>
          <w:sz w:val="22"/>
          <w:szCs w:val="22"/>
        </w:rPr>
        <w:t>łu dydaktycznego oraz badawczego,</w:t>
      </w:r>
    </w:p>
    <w:p w:rsidR="00B738FA" w:rsidRPr="00DF686A" w:rsidRDefault="00F700CE" w:rsidP="008B31FA">
      <w:pPr>
        <w:shd w:val="clear" w:color="auto" w:fill="FFFFFF"/>
        <w:ind w:left="360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zastosowanie znajduje art.</w:t>
      </w:r>
      <w:r w:rsidR="003525A8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>41 ust.</w:t>
      </w:r>
      <w:r w:rsidR="003525A8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>1 pkt.</w:t>
      </w:r>
      <w:r w:rsidR="003525A8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>2 ustawy z dnia 29 września 1994 r o rachunkowości, na mocy którego równolegle do odpisów amortyzacyjnych wykazuje się ich równowartość w pozostałych przychodach operacyjnych.</w:t>
      </w:r>
    </w:p>
    <w:p w:rsidR="00DD130F" w:rsidRPr="00DF686A" w:rsidRDefault="00DD130F" w:rsidP="00DF686A">
      <w:pPr>
        <w:shd w:val="clear" w:color="auto" w:fill="FFFFFF"/>
        <w:ind w:left="4248"/>
        <w:jc w:val="both"/>
        <w:rPr>
          <w:bCs/>
          <w:sz w:val="22"/>
          <w:szCs w:val="22"/>
        </w:rPr>
      </w:pPr>
    </w:p>
    <w:p w:rsidR="00DD130F" w:rsidRPr="00DF686A" w:rsidRDefault="00297E84" w:rsidP="003525A8">
      <w:pPr>
        <w:shd w:val="clear" w:color="auto" w:fill="FFFFFF"/>
        <w:jc w:val="center"/>
        <w:rPr>
          <w:bCs/>
          <w:sz w:val="22"/>
          <w:szCs w:val="22"/>
        </w:rPr>
      </w:pPr>
      <w:r w:rsidRPr="00DF686A">
        <w:rPr>
          <w:bCs/>
          <w:sz w:val="22"/>
          <w:szCs w:val="22"/>
        </w:rPr>
        <w:t>§</w:t>
      </w:r>
      <w:r w:rsidR="003525A8">
        <w:rPr>
          <w:bCs/>
          <w:sz w:val="22"/>
          <w:szCs w:val="22"/>
        </w:rPr>
        <w:t xml:space="preserve"> </w:t>
      </w:r>
      <w:r w:rsidRPr="00DF686A">
        <w:rPr>
          <w:bCs/>
          <w:sz w:val="22"/>
          <w:szCs w:val="22"/>
        </w:rPr>
        <w:t>9</w:t>
      </w:r>
    </w:p>
    <w:p w:rsidR="00B738FA" w:rsidRPr="00DF686A" w:rsidRDefault="00982F08" w:rsidP="00DF686A">
      <w:pPr>
        <w:shd w:val="clear" w:color="auto" w:fill="FFFFFF"/>
        <w:jc w:val="both"/>
        <w:rPr>
          <w:bCs/>
          <w:sz w:val="22"/>
          <w:szCs w:val="22"/>
        </w:rPr>
      </w:pPr>
      <w:r w:rsidRPr="00DF686A">
        <w:rPr>
          <w:bCs/>
          <w:sz w:val="22"/>
          <w:szCs w:val="22"/>
        </w:rPr>
        <w:t xml:space="preserve">Środki trwałe do </w:t>
      </w:r>
      <w:r w:rsidR="00DE513D" w:rsidRPr="00DF686A">
        <w:rPr>
          <w:bCs/>
          <w:sz w:val="22"/>
          <w:szCs w:val="22"/>
        </w:rPr>
        <w:t xml:space="preserve">kwoty </w:t>
      </w:r>
      <w:r w:rsidRPr="00DF686A">
        <w:rPr>
          <w:bCs/>
          <w:sz w:val="22"/>
          <w:szCs w:val="22"/>
        </w:rPr>
        <w:t xml:space="preserve">10 000 zł </w:t>
      </w:r>
      <w:r w:rsidR="00C86171" w:rsidRPr="00DF686A">
        <w:rPr>
          <w:bCs/>
          <w:sz w:val="22"/>
          <w:szCs w:val="22"/>
        </w:rPr>
        <w:t>s</w:t>
      </w:r>
      <w:r w:rsidRPr="00DF686A">
        <w:rPr>
          <w:bCs/>
          <w:sz w:val="22"/>
          <w:szCs w:val="22"/>
        </w:rPr>
        <w:t xml:space="preserve">finansowane z Funduszu Wsparcia Osób Niepełnosprawnych </w:t>
      </w:r>
      <w:r w:rsidR="00DE513D" w:rsidRPr="00DF686A">
        <w:rPr>
          <w:bCs/>
          <w:sz w:val="22"/>
          <w:szCs w:val="22"/>
        </w:rPr>
        <w:t xml:space="preserve">podlegają </w:t>
      </w:r>
      <w:r w:rsidR="009F5368" w:rsidRPr="00DF686A">
        <w:rPr>
          <w:bCs/>
          <w:sz w:val="22"/>
          <w:szCs w:val="22"/>
        </w:rPr>
        <w:t xml:space="preserve">100%  </w:t>
      </w:r>
      <w:r w:rsidR="00DE513D" w:rsidRPr="00DF686A">
        <w:rPr>
          <w:bCs/>
          <w:sz w:val="22"/>
          <w:szCs w:val="22"/>
        </w:rPr>
        <w:t xml:space="preserve">amortyzacji </w:t>
      </w:r>
      <w:r w:rsidR="009F5368" w:rsidRPr="00DF686A">
        <w:rPr>
          <w:bCs/>
          <w:sz w:val="22"/>
          <w:szCs w:val="22"/>
        </w:rPr>
        <w:t>do wartości początkowej określonej w przepisach podatkowych</w:t>
      </w:r>
      <w:r w:rsidR="00C86171" w:rsidRPr="00DF686A">
        <w:rPr>
          <w:bCs/>
          <w:sz w:val="22"/>
          <w:szCs w:val="22"/>
        </w:rPr>
        <w:t>.</w:t>
      </w:r>
    </w:p>
    <w:p w:rsidR="00DD130F" w:rsidRPr="00DF686A" w:rsidRDefault="00DD130F" w:rsidP="00DF686A">
      <w:pPr>
        <w:shd w:val="clear" w:color="auto" w:fill="FFFFFF"/>
        <w:ind w:left="4248"/>
        <w:jc w:val="both"/>
        <w:rPr>
          <w:bCs/>
          <w:sz w:val="22"/>
          <w:szCs w:val="22"/>
        </w:rPr>
      </w:pPr>
    </w:p>
    <w:p w:rsidR="00982F08" w:rsidRPr="00DF686A" w:rsidRDefault="008B31FA" w:rsidP="003525A8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3525A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10</w:t>
      </w:r>
    </w:p>
    <w:p w:rsidR="008B31FA" w:rsidRDefault="002B5F4E" w:rsidP="003A0683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8B31FA">
        <w:rPr>
          <w:sz w:val="22"/>
          <w:szCs w:val="22"/>
        </w:rPr>
        <w:t>Księgozbiory będące własnością U</w:t>
      </w:r>
      <w:r w:rsidR="00501907">
        <w:rPr>
          <w:sz w:val="22"/>
          <w:szCs w:val="22"/>
        </w:rPr>
        <w:t>czelni</w:t>
      </w:r>
      <w:r w:rsidRPr="008B31FA">
        <w:rPr>
          <w:sz w:val="22"/>
          <w:szCs w:val="22"/>
        </w:rPr>
        <w:t xml:space="preserve"> stanowią wartość trwałą i</w:t>
      </w:r>
      <w:r w:rsidR="008D0A8B" w:rsidRPr="008B31FA">
        <w:rPr>
          <w:sz w:val="22"/>
          <w:szCs w:val="22"/>
        </w:rPr>
        <w:t xml:space="preserve"> </w:t>
      </w:r>
      <w:r w:rsidR="008D0A8B" w:rsidRPr="008B31FA">
        <w:rPr>
          <w:bCs/>
          <w:sz w:val="22"/>
          <w:szCs w:val="22"/>
        </w:rPr>
        <w:t xml:space="preserve">podlegają 100% amortyzacji </w:t>
      </w:r>
      <w:r w:rsidR="00501907">
        <w:rPr>
          <w:bCs/>
          <w:sz w:val="22"/>
          <w:szCs w:val="22"/>
        </w:rPr>
        <w:br/>
      </w:r>
      <w:r w:rsidR="008D0A8B" w:rsidRPr="008B31FA">
        <w:rPr>
          <w:bCs/>
          <w:sz w:val="22"/>
          <w:szCs w:val="22"/>
        </w:rPr>
        <w:t>do wartości początkowej określonej w przepisach podatkowych</w:t>
      </w:r>
      <w:r w:rsidRPr="008B31FA">
        <w:rPr>
          <w:sz w:val="22"/>
          <w:szCs w:val="22"/>
        </w:rPr>
        <w:t>.</w:t>
      </w:r>
    </w:p>
    <w:p w:rsidR="002B5F4E" w:rsidRPr="008B31FA" w:rsidRDefault="002B5F4E" w:rsidP="003A0683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8B31FA">
        <w:rPr>
          <w:sz w:val="22"/>
          <w:szCs w:val="22"/>
        </w:rPr>
        <w:t xml:space="preserve">Ewidencję w tym zakresie prowadzi Biblioteka Uniwersytecka, która zobowiązana jest do okresowego uzgadniania wartości posiadanego księgozbioru z </w:t>
      </w:r>
      <w:r w:rsidR="0057484A" w:rsidRPr="008B31FA">
        <w:rPr>
          <w:sz w:val="22"/>
          <w:szCs w:val="22"/>
        </w:rPr>
        <w:t>Sekcją Ewidencji Majątkowej</w:t>
      </w:r>
      <w:r w:rsidRPr="008B31FA">
        <w:rPr>
          <w:sz w:val="22"/>
          <w:szCs w:val="22"/>
        </w:rPr>
        <w:t>.</w:t>
      </w:r>
    </w:p>
    <w:p w:rsidR="0033518E" w:rsidRPr="00DF686A" w:rsidRDefault="0033518E" w:rsidP="00DF686A">
      <w:pPr>
        <w:shd w:val="clear" w:color="auto" w:fill="FFFFFF"/>
        <w:jc w:val="both"/>
        <w:rPr>
          <w:sz w:val="22"/>
          <w:szCs w:val="22"/>
        </w:rPr>
      </w:pPr>
    </w:p>
    <w:p w:rsidR="007059E1" w:rsidRPr="008B31FA" w:rsidRDefault="000E21B0" w:rsidP="003525A8">
      <w:pPr>
        <w:shd w:val="clear" w:color="auto" w:fill="FFFFFF"/>
        <w:jc w:val="center"/>
        <w:rPr>
          <w:bCs/>
          <w:sz w:val="22"/>
          <w:szCs w:val="22"/>
        </w:rPr>
      </w:pPr>
      <w:r w:rsidRPr="00DF686A">
        <w:rPr>
          <w:bCs/>
          <w:sz w:val="22"/>
          <w:szCs w:val="22"/>
        </w:rPr>
        <w:t>§</w:t>
      </w:r>
      <w:r w:rsidR="003525A8">
        <w:rPr>
          <w:bCs/>
          <w:sz w:val="22"/>
          <w:szCs w:val="22"/>
        </w:rPr>
        <w:t xml:space="preserve"> </w:t>
      </w:r>
      <w:r w:rsidRPr="00DF686A">
        <w:rPr>
          <w:bCs/>
          <w:sz w:val="22"/>
          <w:szCs w:val="22"/>
        </w:rPr>
        <w:t>1</w:t>
      </w:r>
      <w:r w:rsidR="00982F08" w:rsidRPr="00DF686A">
        <w:rPr>
          <w:bCs/>
          <w:sz w:val="22"/>
          <w:szCs w:val="22"/>
        </w:rPr>
        <w:t>1</w:t>
      </w:r>
    </w:p>
    <w:p w:rsidR="002B5F4E" w:rsidRPr="00DF686A" w:rsidRDefault="002B5F4E" w:rsidP="00DF686A">
      <w:p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Nakłady na ulepszenia</w:t>
      </w:r>
      <w:r w:rsidR="001A17EF" w:rsidRPr="00DF686A">
        <w:rPr>
          <w:sz w:val="22"/>
          <w:szCs w:val="22"/>
        </w:rPr>
        <w:t xml:space="preserve"> </w:t>
      </w:r>
      <w:r w:rsidR="004D5AA7" w:rsidRPr="00DF686A">
        <w:rPr>
          <w:sz w:val="22"/>
          <w:szCs w:val="22"/>
        </w:rPr>
        <w:t xml:space="preserve">środków trwałych </w:t>
      </w:r>
      <w:r w:rsidRPr="00DF686A">
        <w:rPr>
          <w:sz w:val="22"/>
          <w:szCs w:val="22"/>
        </w:rPr>
        <w:t>ewidencjonowane są  na koncie: „Środki trwałe w budowie".</w:t>
      </w:r>
    </w:p>
    <w:p w:rsidR="00CA34D8" w:rsidRPr="00DF686A" w:rsidRDefault="00CA34D8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E8120E" w:rsidRPr="00DF686A" w:rsidRDefault="00E8120E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E8120E" w:rsidRPr="00DF686A" w:rsidRDefault="00E8120E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E8120E" w:rsidRPr="00DF686A" w:rsidRDefault="00E8120E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E90F9D" w:rsidRPr="00DF686A" w:rsidRDefault="00E90F9D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E8120E" w:rsidRPr="00DF686A" w:rsidRDefault="00E8120E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E8120E" w:rsidRPr="00DF686A" w:rsidRDefault="00E8120E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E8120E" w:rsidRPr="00DF686A" w:rsidRDefault="00E8120E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DD130F" w:rsidRPr="00DF686A" w:rsidRDefault="00DD130F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964F42" w:rsidRPr="00DF686A" w:rsidRDefault="00964F42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C83EFF" w:rsidRPr="00DF686A" w:rsidRDefault="00C83EFF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8B31FA" w:rsidRPr="00DF686A" w:rsidRDefault="00964F42" w:rsidP="008B69D0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Pr="00DF686A">
        <w:rPr>
          <w:b/>
          <w:bCs/>
          <w:spacing w:val="4"/>
          <w:sz w:val="22"/>
          <w:szCs w:val="22"/>
        </w:rPr>
        <w:tab/>
      </w:r>
      <w:r w:rsidR="00B738FA" w:rsidRPr="00DF686A">
        <w:rPr>
          <w:b/>
          <w:bCs/>
          <w:spacing w:val="4"/>
          <w:sz w:val="22"/>
          <w:szCs w:val="22"/>
        </w:rPr>
        <w:tab/>
      </w:r>
    </w:p>
    <w:sectPr w:rsidR="008B31FA" w:rsidRPr="00DF686A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55" w:rsidRDefault="000F7F55">
      <w:r>
        <w:separator/>
      </w:r>
    </w:p>
  </w:endnote>
  <w:endnote w:type="continuationSeparator" w:id="0">
    <w:p w:rsidR="000F7F55" w:rsidRDefault="000F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35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55" w:rsidRDefault="000F7F55">
      <w:r>
        <w:separator/>
      </w:r>
    </w:p>
  </w:footnote>
  <w:footnote w:type="continuationSeparator" w:id="0">
    <w:p w:rsidR="000F7F55" w:rsidRDefault="000F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2BF7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0F7F55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335FB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B69D0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42CFF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02700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55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1BA5-A522-407B-9200-E1130691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2019-12-02T11:43:00Z</cp:lastPrinted>
  <dcterms:created xsi:type="dcterms:W3CDTF">2019-12-11T13:24:00Z</dcterms:created>
  <dcterms:modified xsi:type="dcterms:W3CDTF">2019-12-11T13:24:00Z</dcterms:modified>
</cp:coreProperties>
</file>