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CBF9" w14:textId="666DF2FD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/>
          <w:color w:val="000000"/>
          <w:lang w:eastAsia="pl-PL"/>
        </w:rPr>
      </w:pPr>
      <w:bookmarkStart w:id="0" w:name="_gjdgxs" w:colFirst="0" w:colLast="0"/>
      <w:bookmarkEnd w:id="0"/>
      <w:r w:rsidRPr="001A49A7">
        <w:rPr>
          <w:rFonts w:ascii="Arial" w:eastAsia="Arial Narrow" w:hAnsi="Arial" w:cs="Arial"/>
          <w:b/>
          <w:color w:val="000000"/>
          <w:lang w:eastAsia="pl-PL"/>
        </w:rPr>
        <w:t>Załącznik nr 1</w:t>
      </w:r>
      <w:r w:rsidR="00125814" w:rsidRPr="001A49A7">
        <w:rPr>
          <w:rFonts w:ascii="Arial" w:eastAsia="Arial Narrow" w:hAnsi="Arial" w:cs="Arial"/>
          <w:b/>
          <w:color w:val="000000"/>
          <w:lang w:eastAsia="pl-PL"/>
        </w:rPr>
        <w:t>A</w:t>
      </w:r>
      <w:r w:rsidRPr="001A49A7">
        <w:rPr>
          <w:rFonts w:ascii="Arial" w:eastAsia="Arial Narrow" w:hAnsi="Arial" w:cs="Arial"/>
          <w:b/>
          <w:color w:val="000000"/>
          <w:lang w:eastAsia="pl-PL"/>
        </w:rPr>
        <w:t xml:space="preserve"> – Opis Przedmiotu Zamówienia</w:t>
      </w:r>
    </w:p>
    <w:p w14:paraId="4C6A4E62" w14:textId="4243F0E2" w:rsidR="00AC0448" w:rsidRPr="001A49A7" w:rsidRDefault="00232749" w:rsidP="001A49A7">
      <w:pPr>
        <w:keepLines/>
        <w:tabs>
          <w:tab w:val="left" w:pos="6073"/>
        </w:tabs>
        <w:spacing w:after="0" w:line="240" w:lineRule="auto"/>
        <w:rPr>
          <w:rFonts w:ascii="Arial" w:eastAsia="Arial Narrow" w:hAnsi="Arial" w:cs="Arial"/>
          <w:b/>
          <w:color w:val="000000"/>
          <w:lang w:eastAsia="pl-PL"/>
        </w:rPr>
      </w:pPr>
      <w:r w:rsidRPr="001A49A7">
        <w:rPr>
          <w:rFonts w:ascii="Arial" w:eastAsia="Arial Narrow" w:hAnsi="Arial" w:cs="Arial"/>
          <w:b/>
          <w:color w:val="000000"/>
          <w:lang w:eastAsia="pl-PL"/>
        </w:rPr>
        <w:t xml:space="preserve">Nr postępowania: </w:t>
      </w:r>
      <w:r w:rsidR="00F475A8">
        <w:rPr>
          <w:rFonts w:ascii="Arial" w:eastAsia="Arial Narrow" w:hAnsi="Arial" w:cs="Arial"/>
          <w:b/>
          <w:color w:val="000000"/>
          <w:lang w:eastAsia="pl-PL"/>
        </w:rPr>
        <w:t>ADP.2302.45.2024</w:t>
      </w:r>
    </w:p>
    <w:p w14:paraId="2F0D1738" w14:textId="77777777" w:rsidR="00E77AE8" w:rsidRPr="001A49A7" w:rsidRDefault="00E77AE8" w:rsidP="001A49A7">
      <w:pPr>
        <w:keepLines/>
        <w:spacing w:after="0" w:line="240" w:lineRule="auto"/>
        <w:rPr>
          <w:rFonts w:ascii="Arial" w:eastAsia="Arial Narrow" w:hAnsi="Arial" w:cs="Arial"/>
          <w:b/>
          <w:color w:val="000000"/>
          <w:lang w:eastAsia="pl-PL"/>
        </w:rPr>
      </w:pPr>
    </w:p>
    <w:p w14:paraId="254DE37D" w14:textId="1768E423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/>
          <w:color w:val="000000"/>
          <w:lang w:eastAsia="pl-PL"/>
        </w:rPr>
      </w:pPr>
      <w:r w:rsidRPr="001A49A7">
        <w:rPr>
          <w:rFonts w:ascii="Arial" w:eastAsia="Arial Narrow" w:hAnsi="Arial" w:cs="Arial"/>
          <w:b/>
          <w:color w:val="000000"/>
          <w:lang w:eastAsia="pl-PL"/>
        </w:rPr>
        <w:t>Szczegółowy opis przedmiotu zamówienia pn. „</w:t>
      </w:r>
      <w:r w:rsidR="001A49A7" w:rsidRPr="001A49A7">
        <w:rPr>
          <w:rFonts w:ascii="Arial" w:eastAsia="Arial Narrow" w:hAnsi="Arial" w:cs="Arial"/>
          <w:b/>
          <w:color w:val="000000"/>
          <w:lang w:eastAsia="pl-PL"/>
        </w:rPr>
        <w:t xml:space="preserve">usługa ubezpieczenia </w:t>
      </w:r>
      <w:r w:rsidR="001A49A7">
        <w:rPr>
          <w:rFonts w:ascii="Arial" w:eastAsia="Arial Narrow" w:hAnsi="Arial" w:cs="Arial"/>
          <w:b/>
          <w:color w:val="000000"/>
          <w:lang w:eastAsia="pl-PL"/>
        </w:rPr>
        <w:t xml:space="preserve">od </w:t>
      </w:r>
      <w:proofErr w:type="spellStart"/>
      <w:r w:rsidR="001A49A7">
        <w:rPr>
          <w:rFonts w:ascii="Arial" w:eastAsia="Arial Narrow" w:hAnsi="Arial" w:cs="Arial"/>
          <w:b/>
          <w:color w:val="000000"/>
          <w:lang w:eastAsia="pl-PL"/>
        </w:rPr>
        <w:t>cyberzagrożeń</w:t>
      </w:r>
      <w:proofErr w:type="spellEnd"/>
      <w:r w:rsidRPr="001A49A7">
        <w:rPr>
          <w:rFonts w:ascii="Arial" w:eastAsia="Arial Narrow" w:hAnsi="Arial" w:cs="Arial"/>
          <w:b/>
          <w:color w:val="000000"/>
          <w:lang w:eastAsia="pl-PL"/>
        </w:rPr>
        <w:t>”.</w:t>
      </w:r>
    </w:p>
    <w:p w14:paraId="381CFCBD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/>
          <w:color w:val="000000"/>
          <w:lang w:eastAsia="pl-PL"/>
        </w:rPr>
      </w:pPr>
    </w:p>
    <w:p w14:paraId="4B18BFB1" w14:textId="1D3BA1A1" w:rsidR="00AC0448" w:rsidRPr="00A16230" w:rsidRDefault="001A49A7" w:rsidP="001A49A7">
      <w:pPr>
        <w:keepLines/>
        <w:numPr>
          <w:ilvl w:val="0"/>
          <w:numId w:val="2"/>
        </w:numPr>
        <w:spacing w:after="0" w:line="240" w:lineRule="auto"/>
        <w:ind w:hanging="218"/>
        <w:rPr>
          <w:rFonts w:ascii="Arial" w:eastAsia="Arial Narrow" w:hAnsi="Arial" w:cs="Arial"/>
          <w:b/>
          <w:color w:val="007BB8"/>
          <w:lang w:eastAsia="pl-PL"/>
        </w:rPr>
      </w:pPr>
      <w:r w:rsidRPr="00A16230">
        <w:rPr>
          <w:rFonts w:ascii="Arial" w:eastAsia="Arial Narrow" w:hAnsi="Arial" w:cs="Arial"/>
          <w:b/>
          <w:color w:val="007BB8"/>
          <w:lang w:eastAsia="pl-PL"/>
        </w:rPr>
        <w:t>Informacje ogólne</w:t>
      </w:r>
      <w:r w:rsidR="00F475A8" w:rsidRPr="00A16230">
        <w:rPr>
          <w:rFonts w:ascii="Arial" w:eastAsia="Arial Narrow" w:hAnsi="Arial" w:cs="Arial"/>
          <w:b/>
          <w:color w:val="007BB8"/>
          <w:lang w:eastAsia="pl-PL"/>
        </w:rPr>
        <w:t>:</w:t>
      </w:r>
    </w:p>
    <w:p w14:paraId="0F7ECBC3" w14:textId="543AA590" w:rsidR="00AC0448" w:rsidRPr="001A49A7" w:rsidRDefault="001A49A7" w:rsidP="001A49A7">
      <w:pPr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 Narrow" w:hAnsi="Arial" w:cs="Arial"/>
          <w:b/>
          <w:color w:val="000000"/>
          <w:lang w:eastAsia="pl-PL"/>
        </w:rPr>
        <w:t>Z</w:t>
      </w:r>
      <w:r w:rsidRPr="001A49A7">
        <w:rPr>
          <w:rFonts w:ascii="Arial" w:eastAsia="Arial Narrow" w:hAnsi="Arial" w:cs="Arial"/>
          <w:b/>
          <w:color w:val="000000"/>
          <w:lang w:eastAsia="pl-PL"/>
        </w:rPr>
        <w:t>amawiający (ubezpieczający)</w:t>
      </w:r>
      <w:r w:rsidRPr="001A49A7">
        <w:rPr>
          <w:rFonts w:ascii="Arial" w:eastAsia="Arial Narrow" w:hAnsi="Arial" w:cs="Arial"/>
          <w:b/>
          <w:color w:val="000000"/>
          <w:lang w:eastAsia="pl-PL"/>
        </w:rPr>
        <w:br/>
      </w:r>
      <w:r w:rsidR="00AC0448" w:rsidRPr="001A49A7">
        <w:rPr>
          <w:rFonts w:ascii="Arial" w:eastAsia="Arial Narrow" w:hAnsi="Arial" w:cs="Arial"/>
          <w:color w:val="000000"/>
          <w:lang w:eastAsia="pl-PL"/>
        </w:rPr>
        <w:t>Uniwersytet Jana Kochanowskiego w Kielcach, zwanym dalej UJK</w:t>
      </w:r>
      <w:r w:rsidR="00AC0448" w:rsidRPr="001A49A7">
        <w:rPr>
          <w:rFonts w:ascii="Arial" w:eastAsia="Arial Narrow" w:hAnsi="Arial" w:cs="Arial"/>
          <w:color w:val="000000"/>
          <w:lang w:eastAsia="pl-PL"/>
        </w:rPr>
        <w:br/>
        <w:t>25-369 Kielce, ul. Żeromskiego 5</w:t>
      </w:r>
      <w:r w:rsidR="00AC0448" w:rsidRPr="001A49A7">
        <w:rPr>
          <w:rFonts w:ascii="Arial" w:eastAsia="Arial Narrow" w:hAnsi="Arial" w:cs="Arial"/>
          <w:color w:val="000000"/>
          <w:lang w:eastAsia="pl-PL"/>
        </w:rPr>
        <w:br/>
      </w:r>
      <w:hyperlink r:id="rId7">
        <w:r w:rsidR="00AC0448" w:rsidRPr="001A49A7">
          <w:rPr>
            <w:rFonts w:ascii="Arial" w:eastAsia="Arial Narrow" w:hAnsi="Arial" w:cs="Arial"/>
            <w:color w:val="000000"/>
            <w:u w:val="single"/>
            <w:lang w:eastAsia="pl-PL"/>
          </w:rPr>
          <w:t>www.ujk.edu.pl</w:t>
        </w:r>
      </w:hyperlink>
      <w:r w:rsidR="00AC0448" w:rsidRPr="001A49A7">
        <w:rPr>
          <w:rFonts w:ascii="Arial" w:eastAsia="Arial Narrow" w:hAnsi="Arial" w:cs="Arial"/>
          <w:color w:val="000000"/>
          <w:lang w:eastAsia="pl-PL"/>
        </w:rPr>
        <w:br/>
        <w:t>REGON 000001407</w:t>
      </w:r>
    </w:p>
    <w:p w14:paraId="0E5B9EE1" w14:textId="77777777" w:rsidR="00AC0448" w:rsidRPr="001A49A7" w:rsidRDefault="00AC0448" w:rsidP="001A49A7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</w:p>
    <w:p w14:paraId="6BEAE990" w14:textId="13CC2FB1" w:rsidR="00AC0448" w:rsidRPr="001A49A7" w:rsidRDefault="001A49A7" w:rsidP="001A49A7">
      <w:pPr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arrow" w:hAnsi="Arial" w:cs="Arial"/>
          <w:b/>
          <w:color w:val="000000"/>
          <w:lang w:eastAsia="pl-PL"/>
        </w:rPr>
      </w:pPr>
      <w:r>
        <w:rPr>
          <w:rFonts w:ascii="Arial" w:eastAsia="Arial Narrow" w:hAnsi="Arial" w:cs="Arial"/>
          <w:b/>
          <w:color w:val="000000"/>
          <w:lang w:eastAsia="pl-PL"/>
        </w:rPr>
        <w:t>R</w:t>
      </w:r>
      <w:r w:rsidRPr="001A49A7">
        <w:rPr>
          <w:rFonts w:ascii="Arial" w:eastAsia="Arial Narrow" w:hAnsi="Arial" w:cs="Arial"/>
          <w:b/>
          <w:color w:val="000000"/>
          <w:lang w:eastAsia="pl-PL"/>
        </w:rPr>
        <w:t xml:space="preserve">odzaje ubezpieczeń </w:t>
      </w:r>
      <w:r w:rsidRPr="001A49A7">
        <w:rPr>
          <w:rFonts w:ascii="Arial" w:eastAsia="Arial Narrow" w:hAnsi="Arial" w:cs="Arial"/>
          <w:b/>
          <w:color w:val="000000"/>
          <w:lang w:eastAsia="pl-PL"/>
        </w:rPr>
        <w:br/>
        <w:t xml:space="preserve">ubezpieczenie </w:t>
      </w:r>
      <w:proofErr w:type="spellStart"/>
      <w:r w:rsidRPr="001A49A7">
        <w:rPr>
          <w:rFonts w:ascii="Arial" w:eastAsia="Arial Narrow" w:hAnsi="Arial" w:cs="Arial"/>
          <w:b/>
          <w:color w:val="000000"/>
          <w:lang w:eastAsia="pl-PL"/>
        </w:rPr>
        <w:t>ryzyk</w:t>
      </w:r>
      <w:proofErr w:type="spellEnd"/>
      <w:r w:rsidRPr="001A49A7">
        <w:rPr>
          <w:rFonts w:ascii="Arial" w:eastAsia="Arial Narrow" w:hAnsi="Arial" w:cs="Arial"/>
          <w:b/>
          <w:color w:val="000000"/>
          <w:lang w:eastAsia="pl-PL"/>
        </w:rPr>
        <w:t xml:space="preserve"> cybernetycznych </w:t>
      </w:r>
      <w:proofErr w:type="spellStart"/>
      <w:r w:rsidR="00AC0448" w:rsidRPr="001A49A7">
        <w:rPr>
          <w:rFonts w:ascii="Arial" w:eastAsia="Arial Narrow" w:hAnsi="Arial" w:cs="Arial"/>
          <w:b/>
          <w:color w:val="000000"/>
          <w:lang w:eastAsia="pl-PL"/>
        </w:rPr>
        <w:t>cyber</w:t>
      </w:r>
      <w:proofErr w:type="spellEnd"/>
      <w:r w:rsidR="00AC0448" w:rsidRPr="001A49A7">
        <w:rPr>
          <w:rFonts w:ascii="Arial" w:eastAsia="Arial Narrow" w:hAnsi="Arial" w:cs="Arial"/>
          <w:b/>
          <w:color w:val="000000"/>
          <w:lang w:eastAsia="pl-PL"/>
        </w:rPr>
        <w:t xml:space="preserve"> (CR)</w:t>
      </w:r>
    </w:p>
    <w:p w14:paraId="2E0F329F" w14:textId="77777777" w:rsidR="00AC0448" w:rsidRPr="001A49A7" w:rsidRDefault="00AC0448" w:rsidP="001A49A7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arrow" w:hAnsi="Arial" w:cs="Arial"/>
          <w:b/>
          <w:color w:val="000000"/>
          <w:lang w:eastAsia="pl-PL"/>
        </w:rPr>
      </w:pPr>
    </w:p>
    <w:p w14:paraId="1815DA9A" w14:textId="4E469AA3" w:rsidR="00AC0448" w:rsidRPr="001A49A7" w:rsidRDefault="001A49A7" w:rsidP="001A49A7">
      <w:pPr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 Narrow" w:hAnsi="Arial" w:cs="Arial"/>
          <w:b/>
          <w:color w:val="000000"/>
          <w:lang w:eastAsia="pl-PL"/>
        </w:rPr>
        <w:t>U</w:t>
      </w:r>
      <w:r w:rsidRPr="001A49A7">
        <w:rPr>
          <w:rFonts w:ascii="Arial" w:eastAsia="Arial Narrow" w:hAnsi="Arial" w:cs="Arial"/>
          <w:b/>
          <w:color w:val="000000"/>
          <w:lang w:eastAsia="pl-PL"/>
        </w:rPr>
        <w:t>bezpieczony</w:t>
      </w:r>
    </w:p>
    <w:p w14:paraId="196FFB72" w14:textId="77777777" w:rsidR="00AC0448" w:rsidRPr="001A49A7" w:rsidRDefault="00AC0448" w:rsidP="001A49A7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arrow" w:hAnsi="Arial" w:cs="Arial"/>
          <w:color w:val="000000"/>
          <w:lang w:eastAsia="pl-PL"/>
        </w:rPr>
      </w:pPr>
      <w:r w:rsidRPr="001A49A7">
        <w:rPr>
          <w:rFonts w:ascii="Arial" w:eastAsia="Arial Narrow" w:hAnsi="Arial" w:cs="Arial"/>
          <w:color w:val="000000"/>
          <w:lang w:eastAsia="pl-PL"/>
        </w:rPr>
        <w:t>Uniwersytet Jana Kochanowskiego w Kielcach, 25-369 Kielce, ul. Żeromskiego 5, REGON 000001407, wraz z wszystkimi jednostkami przynależnymi.</w:t>
      </w:r>
    </w:p>
    <w:p w14:paraId="780E1269" w14:textId="77777777" w:rsidR="00AC0448" w:rsidRPr="001A49A7" w:rsidRDefault="00AC0448" w:rsidP="001A49A7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lang w:eastAsia="pl-PL"/>
        </w:rPr>
      </w:pPr>
    </w:p>
    <w:p w14:paraId="4EE549B8" w14:textId="462E80C8" w:rsidR="00AC0448" w:rsidRPr="001A49A7" w:rsidRDefault="001A49A7" w:rsidP="001A49A7">
      <w:pPr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 Narrow" w:hAnsi="Arial" w:cs="Arial"/>
          <w:b/>
          <w:color w:val="000000"/>
          <w:lang w:eastAsia="pl-PL"/>
        </w:rPr>
        <w:t>O</w:t>
      </w:r>
      <w:r w:rsidRPr="001A49A7">
        <w:rPr>
          <w:rFonts w:ascii="Arial" w:eastAsia="Arial Narrow" w:hAnsi="Arial" w:cs="Arial"/>
          <w:b/>
          <w:color w:val="000000"/>
          <w:lang w:eastAsia="pl-PL"/>
        </w:rPr>
        <w:t>kresy ubezpieczenia i płatność składki</w:t>
      </w:r>
    </w:p>
    <w:p w14:paraId="4D49F02F" w14:textId="230FB23F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color w:val="000000"/>
          <w:lang w:eastAsia="pl-PL"/>
        </w:rPr>
      </w:pPr>
      <w:r w:rsidRPr="001A49A7">
        <w:rPr>
          <w:rFonts w:ascii="Arial" w:eastAsia="Arial Narrow" w:hAnsi="Arial" w:cs="Arial"/>
          <w:color w:val="000000"/>
          <w:lang w:eastAsia="pl-PL"/>
        </w:rPr>
        <w:t>Okres ubezpieczenia:</w:t>
      </w:r>
      <w:r w:rsidRPr="001A49A7">
        <w:rPr>
          <w:rFonts w:ascii="Arial" w:eastAsia="Arial Narrow" w:hAnsi="Arial" w:cs="Arial"/>
          <w:b/>
          <w:color w:val="000000"/>
          <w:lang w:eastAsia="pl-PL"/>
        </w:rPr>
        <w:t xml:space="preserve"> </w:t>
      </w:r>
      <w:r w:rsidRPr="001A49A7">
        <w:rPr>
          <w:rFonts w:ascii="Arial" w:eastAsia="Arial Narrow" w:hAnsi="Arial" w:cs="Arial"/>
          <w:color w:val="000000"/>
          <w:lang w:eastAsia="pl-PL"/>
        </w:rPr>
        <w:t>od dnia 01.01.202</w:t>
      </w:r>
      <w:r w:rsidR="00E70A61" w:rsidRPr="001A49A7">
        <w:rPr>
          <w:rFonts w:ascii="Arial" w:eastAsia="Arial Narrow" w:hAnsi="Arial" w:cs="Arial"/>
          <w:color w:val="000000"/>
          <w:lang w:eastAsia="pl-PL"/>
        </w:rPr>
        <w:t>5</w:t>
      </w:r>
      <w:r w:rsidRPr="001A49A7">
        <w:rPr>
          <w:rFonts w:ascii="Arial" w:eastAsia="Arial Narrow" w:hAnsi="Arial" w:cs="Arial"/>
          <w:color w:val="000000"/>
          <w:lang w:eastAsia="pl-PL"/>
        </w:rPr>
        <w:t xml:space="preserve"> r. do 31.12.2025 r. – ustala się 12-miesięczn</w:t>
      </w:r>
      <w:r w:rsidR="00E70A61" w:rsidRPr="001A49A7">
        <w:rPr>
          <w:rFonts w:ascii="Arial" w:eastAsia="Arial Narrow" w:hAnsi="Arial" w:cs="Arial"/>
          <w:color w:val="000000"/>
          <w:lang w:eastAsia="pl-PL"/>
        </w:rPr>
        <w:t>y</w:t>
      </w:r>
      <w:r w:rsidRPr="001A49A7">
        <w:rPr>
          <w:rFonts w:ascii="Arial" w:eastAsia="Arial Narrow" w:hAnsi="Arial" w:cs="Arial"/>
          <w:color w:val="000000"/>
          <w:lang w:eastAsia="pl-PL"/>
        </w:rPr>
        <w:t xml:space="preserve"> okres ubezpiecze</w:t>
      </w:r>
      <w:r w:rsidR="00E70A61" w:rsidRPr="001A49A7">
        <w:rPr>
          <w:rFonts w:ascii="Arial" w:eastAsia="Arial Narrow" w:hAnsi="Arial" w:cs="Arial"/>
          <w:color w:val="000000"/>
          <w:lang w:eastAsia="pl-PL"/>
        </w:rPr>
        <w:t>nia.</w:t>
      </w:r>
    </w:p>
    <w:p w14:paraId="28901AD6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color w:val="000000"/>
          <w:lang w:eastAsia="pl-PL"/>
        </w:rPr>
      </w:pPr>
    </w:p>
    <w:p w14:paraId="3B623C77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color w:val="000000"/>
          <w:lang w:eastAsia="pl-PL"/>
        </w:rPr>
      </w:pPr>
      <w:r w:rsidRPr="001A49A7">
        <w:rPr>
          <w:rFonts w:ascii="Arial" w:eastAsia="Arial Narrow" w:hAnsi="Arial" w:cs="Arial"/>
          <w:color w:val="000000"/>
          <w:lang w:eastAsia="pl-PL"/>
        </w:rPr>
        <w:t>Składki wynikające z wystawionych rocznych polis ubezpieczeniowych za dany okres ubezpieczenia będą regulowane przez Zamawiającego w jednej racie, w ciągu 21 dni od daty początku danego rocznego okresu odpowiedzialności.</w:t>
      </w:r>
    </w:p>
    <w:p w14:paraId="42B667F7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color w:val="000000"/>
          <w:lang w:eastAsia="pl-PL"/>
        </w:rPr>
      </w:pPr>
    </w:p>
    <w:p w14:paraId="4441FDE3" w14:textId="521231A4" w:rsidR="00AC0448" w:rsidRPr="00F475A8" w:rsidRDefault="001A49A7" w:rsidP="001A49A7">
      <w:pPr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Arial Narrow" w:hAnsi="Arial" w:cs="Arial"/>
          <w:b/>
          <w:color w:val="000000"/>
          <w:lang w:eastAsia="pl-PL"/>
        </w:rPr>
        <w:t>I</w:t>
      </w:r>
      <w:r w:rsidRPr="001A49A7">
        <w:rPr>
          <w:rFonts w:ascii="Arial" w:eastAsia="Arial Narrow" w:hAnsi="Arial" w:cs="Arial"/>
          <w:b/>
          <w:color w:val="000000"/>
          <w:lang w:eastAsia="pl-PL"/>
        </w:rPr>
        <w:t>nformacje do oceny ryzyka, szkodowość</w:t>
      </w:r>
    </w:p>
    <w:p w14:paraId="03DC7F4E" w14:textId="5416448E" w:rsidR="00AC0448" w:rsidRPr="001A49A7" w:rsidRDefault="00AC0448" w:rsidP="001A49A7">
      <w:pPr>
        <w:keepLines/>
        <w:contextualSpacing/>
        <w:rPr>
          <w:rFonts w:ascii="Arial" w:eastAsia="Arial Narrow" w:hAnsi="Arial" w:cs="Arial"/>
          <w:b/>
          <w:color w:val="000000"/>
          <w:lang w:eastAsia="pl-PL"/>
        </w:rPr>
      </w:pPr>
      <w:r w:rsidRPr="001A49A7">
        <w:rPr>
          <w:rFonts w:ascii="Arial" w:eastAsia="Arial Narrow" w:hAnsi="Arial" w:cs="Arial"/>
          <w:b/>
          <w:color w:val="000000"/>
          <w:lang w:eastAsia="pl-PL"/>
        </w:rPr>
        <w:t>Przebieg szkodowości</w:t>
      </w:r>
      <w:r w:rsidR="00125814" w:rsidRPr="001A49A7">
        <w:rPr>
          <w:rFonts w:ascii="Arial" w:eastAsia="Arial Narrow" w:hAnsi="Arial" w:cs="Arial"/>
          <w:b/>
          <w:color w:val="000000"/>
          <w:lang w:eastAsia="pl-PL"/>
        </w:rPr>
        <w:t xml:space="preserve"> </w:t>
      </w:r>
      <w:r w:rsidRPr="001A49A7">
        <w:rPr>
          <w:rFonts w:ascii="Arial" w:eastAsia="Arial Narrow" w:hAnsi="Arial" w:cs="Arial"/>
          <w:b/>
          <w:color w:val="000000"/>
          <w:lang w:eastAsia="pl-PL"/>
        </w:rPr>
        <w:t>– brak szkód w dotychczasowej historii ubezpieczenia</w:t>
      </w:r>
    </w:p>
    <w:p w14:paraId="3D0C7787" w14:textId="47F313EE" w:rsidR="00AC0448" w:rsidRPr="001A49A7" w:rsidRDefault="00AC0448" w:rsidP="001A49A7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Arial" w:eastAsia="Arial Narrow" w:hAnsi="Arial" w:cs="Arial"/>
          <w:b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Informacje do analizy ryzyka</w:t>
      </w:r>
      <w:r w:rsidR="00125814" w:rsidRPr="001A49A7">
        <w:rPr>
          <w:rFonts w:ascii="Arial" w:eastAsia="Arial Narrow" w:hAnsi="Arial" w:cs="Arial"/>
          <w:b/>
          <w:bCs/>
          <w:color w:val="000000"/>
          <w:lang w:eastAsia="pl-PL"/>
        </w:rPr>
        <w:t xml:space="preserve"> – Załącznik nr 2 do </w:t>
      </w:r>
      <w:r w:rsidR="00ED7E61" w:rsidRPr="001A49A7">
        <w:rPr>
          <w:rFonts w:ascii="Arial" w:eastAsia="Arial Narrow" w:hAnsi="Arial" w:cs="Arial"/>
          <w:b/>
          <w:bCs/>
          <w:color w:val="000000"/>
          <w:lang w:eastAsia="pl-PL"/>
        </w:rPr>
        <w:t>Zapytania ofertowego</w:t>
      </w:r>
      <w:r w:rsidR="00125814" w:rsidRPr="001A49A7">
        <w:rPr>
          <w:rFonts w:ascii="Arial" w:eastAsia="Arial Narrow" w:hAnsi="Arial" w:cs="Arial"/>
          <w:b/>
          <w:bCs/>
          <w:color w:val="000000"/>
          <w:lang w:eastAsia="pl-PL"/>
        </w:rPr>
        <w:t xml:space="preserve"> (POUFNY)</w:t>
      </w:r>
    </w:p>
    <w:p w14:paraId="4ECF646C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/>
          <w:color w:val="000000"/>
          <w:lang w:eastAsia="pl-PL"/>
        </w:rPr>
      </w:pPr>
    </w:p>
    <w:p w14:paraId="054C6D56" w14:textId="6C5CE764" w:rsidR="00AC0448" w:rsidRPr="001A49A7" w:rsidRDefault="001A49A7" w:rsidP="001A49A7">
      <w:pPr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 Narrow" w:hAnsi="Arial" w:cs="Arial"/>
          <w:b/>
          <w:color w:val="000000"/>
          <w:lang w:eastAsia="pl-PL"/>
        </w:rPr>
        <w:t>P</w:t>
      </w:r>
      <w:r w:rsidRPr="001A49A7">
        <w:rPr>
          <w:rFonts w:ascii="Arial" w:eastAsia="Arial Narrow" w:hAnsi="Arial" w:cs="Arial"/>
          <w:b/>
          <w:color w:val="000000"/>
          <w:lang w:eastAsia="pl-PL"/>
        </w:rPr>
        <w:t>ostanowienia ogólne</w:t>
      </w:r>
    </w:p>
    <w:p w14:paraId="600B3782" w14:textId="22816663" w:rsidR="00AC0448" w:rsidRPr="001A49A7" w:rsidRDefault="00AC0448" w:rsidP="001A49A7">
      <w:pPr>
        <w:keepLines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1A49A7">
        <w:rPr>
          <w:rFonts w:ascii="Arial" w:eastAsia="Arial Narrow" w:hAnsi="Arial" w:cs="Arial"/>
          <w:color w:val="000000"/>
          <w:lang w:eastAsia="pl-PL"/>
        </w:rPr>
        <w:t>Opisany poniżej zakres ochrony i wymagania dodatkowe stanowią minimalny zakres obligatoryjny. Jeżeli w oferowanych ogólnych warunkach ubezpieczeń znajdują się zapisy korzystniejsze dla Zamawiającego to zostają automatycznie włączone do ubezpieczenia. W</w:t>
      </w:r>
      <w:r w:rsidR="00D12C29">
        <w:rPr>
          <w:rFonts w:ascii="Arial" w:eastAsia="Arial Narrow" w:hAnsi="Arial" w:cs="Arial"/>
          <w:color w:val="000000"/>
          <w:lang w:eastAsia="pl-PL"/>
        </w:rPr>
        <w:t> </w:t>
      </w:r>
      <w:r w:rsidRPr="001A49A7">
        <w:rPr>
          <w:rFonts w:ascii="Arial" w:eastAsia="Arial Narrow" w:hAnsi="Arial" w:cs="Arial"/>
          <w:color w:val="000000"/>
          <w:lang w:eastAsia="pl-PL"/>
        </w:rPr>
        <w:t xml:space="preserve">sprawach nieuregulowanych </w:t>
      </w:r>
      <w:r w:rsidRPr="001A49A7">
        <w:rPr>
          <w:rFonts w:ascii="Arial" w:eastAsia="Arial Narrow" w:hAnsi="Arial" w:cs="Arial"/>
          <w:lang w:eastAsia="pl-PL"/>
        </w:rPr>
        <w:t xml:space="preserve">w </w:t>
      </w:r>
      <w:r w:rsidR="001A49A7" w:rsidRPr="001A49A7">
        <w:rPr>
          <w:rFonts w:ascii="Arial" w:eastAsia="Arial Narrow" w:hAnsi="Arial" w:cs="Arial"/>
          <w:lang w:eastAsia="pl-PL"/>
        </w:rPr>
        <w:t>z</w:t>
      </w:r>
      <w:r w:rsidR="00125814" w:rsidRPr="001A49A7">
        <w:rPr>
          <w:rFonts w:ascii="Arial" w:eastAsia="Arial Narrow" w:hAnsi="Arial" w:cs="Arial"/>
          <w:lang w:eastAsia="pl-PL"/>
        </w:rPr>
        <w:t>apytani</w:t>
      </w:r>
      <w:r w:rsidR="00B015DB" w:rsidRPr="001A49A7">
        <w:rPr>
          <w:rFonts w:ascii="Arial" w:eastAsia="Arial Narrow" w:hAnsi="Arial" w:cs="Arial"/>
          <w:lang w:eastAsia="pl-PL"/>
        </w:rPr>
        <w:t>u</w:t>
      </w:r>
      <w:r w:rsidR="00125814" w:rsidRPr="001A49A7">
        <w:rPr>
          <w:rFonts w:ascii="Arial" w:eastAsia="Arial Narrow" w:hAnsi="Arial" w:cs="Arial"/>
          <w:lang w:eastAsia="pl-PL"/>
        </w:rPr>
        <w:t xml:space="preserve"> ofertowym</w:t>
      </w:r>
      <w:r w:rsidRPr="001A49A7">
        <w:rPr>
          <w:rFonts w:ascii="Arial" w:eastAsia="Arial Narrow" w:hAnsi="Arial" w:cs="Arial"/>
          <w:lang w:eastAsia="pl-PL"/>
        </w:rPr>
        <w:t xml:space="preserve"> </w:t>
      </w:r>
      <w:r w:rsidRPr="001A49A7">
        <w:rPr>
          <w:rFonts w:ascii="Arial" w:eastAsia="Arial Narrow" w:hAnsi="Arial" w:cs="Arial"/>
          <w:color w:val="000000"/>
          <w:lang w:eastAsia="pl-PL"/>
        </w:rPr>
        <w:t>będą miały zastosowanie ogólne warunki ubezpieczenia Wykonawcy. Wszelkie wątpliwości należy interpretować na korzyść Zamawiającego. Postanowienia niniejszej umowy i klauzule dodatkowe, mają pierwszeństwo stosowania przed OWU Wykonawcy, chyba że OWU Wykonawcy przewidują rozwiązania korzystniejsze dla Zamawiającego.</w:t>
      </w:r>
    </w:p>
    <w:p w14:paraId="295D6A11" w14:textId="77777777" w:rsidR="00AC0448" w:rsidRPr="001A49A7" w:rsidRDefault="00AC0448" w:rsidP="001A49A7">
      <w:pPr>
        <w:keepLines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1A49A7">
        <w:rPr>
          <w:rFonts w:ascii="Arial" w:eastAsia="Arial Narrow" w:hAnsi="Arial" w:cs="Arial"/>
          <w:color w:val="000000"/>
          <w:lang w:eastAsia="pl-PL"/>
        </w:rPr>
        <w:t>W umowie ubezpieczenia nie będą miały zastosowania żadne inne franszyzy i udziały własne w szkodzie za wyjątkiem określonych w niniejszej specyfikacji.</w:t>
      </w:r>
    </w:p>
    <w:p w14:paraId="4E00CA4B" w14:textId="746E4A38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1A49A7">
        <w:rPr>
          <w:rFonts w:ascii="Arial" w:eastAsia="Arial Narrow" w:hAnsi="Arial" w:cs="Arial"/>
          <w:color w:val="000000"/>
          <w:lang w:eastAsia="pl-PL"/>
        </w:rPr>
        <w:t xml:space="preserve">Zamawiający poza obligatoryjnym zakresem minimalnym określił również zakres fakultatywny. Są to dodatkowe elementy rozszerzające ochronę ubezpieczeniową, których zaoferowanie przez Wykonawcę jest dobrowolne, ale podlega ocenie zgodnie z kryteriami oceny ofert opisanymi </w:t>
      </w:r>
      <w:r w:rsidRPr="001A49A7">
        <w:rPr>
          <w:rFonts w:ascii="Arial" w:eastAsia="Arial Narrow" w:hAnsi="Arial" w:cs="Arial"/>
          <w:lang w:eastAsia="pl-PL"/>
        </w:rPr>
        <w:t xml:space="preserve">w </w:t>
      </w:r>
      <w:r w:rsidR="001A49A7" w:rsidRPr="001A49A7">
        <w:rPr>
          <w:rFonts w:ascii="Arial" w:eastAsia="Arial Narrow" w:hAnsi="Arial" w:cs="Arial"/>
          <w:lang w:eastAsia="pl-PL"/>
        </w:rPr>
        <w:t>z</w:t>
      </w:r>
      <w:r w:rsidR="00125814" w:rsidRPr="001A49A7">
        <w:rPr>
          <w:rFonts w:ascii="Arial" w:eastAsia="Arial Narrow" w:hAnsi="Arial" w:cs="Arial"/>
          <w:lang w:eastAsia="pl-PL"/>
        </w:rPr>
        <w:t xml:space="preserve">apytaniu </w:t>
      </w:r>
      <w:r w:rsidR="001A49A7" w:rsidRPr="001A49A7">
        <w:rPr>
          <w:rFonts w:ascii="Arial" w:eastAsia="Arial Narrow" w:hAnsi="Arial" w:cs="Arial"/>
          <w:lang w:eastAsia="pl-PL"/>
        </w:rPr>
        <w:t>o</w:t>
      </w:r>
      <w:r w:rsidR="00125814" w:rsidRPr="001A49A7">
        <w:rPr>
          <w:rFonts w:ascii="Arial" w:eastAsia="Arial Narrow" w:hAnsi="Arial" w:cs="Arial"/>
          <w:lang w:eastAsia="pl-PL"/>
        </w:rPr>
        <w:t>fertowym</w:t>
      </w:r>
      <w:r w:rsidRPr="001A49A7">
        <w:rPr>
          <w:rFonts w:ascii="Arial" w:eastAsia="Arial Narrow" w:hAnsi="Arial" w:cs="Arial"/>
          <w:lang w:eastAsia="pl-PL"/>
        </w:rPr>
        <w:t>.</w:t>
      </w:r>
    </w:p>
    <w:p w14:paraId="0F5D709F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" w:hAnsi="Arial" w:cs="Arial"/>
          <w:lang w:eastAsia="pl-PL"/>
        </w:rPr>
      </w:pPr>
      <w:r w:rsidRPr="001A49A7">
        <w:rPr>
          <w:rFonts w:ascii="Arial" w:eastAsia="Arial" w:hAnsi="Arial" w:cs="Arial"/>
          <w:lang w:eastAsia="pl-PL"/>
        </w:rPr>
        <w:t>Ubezpieczyciel akceptuje wewnętrzne procedury Ubezpieczającego z zakresu eksploatacji budynków, budowli oraz maszyn i urządzeń. Ubezpieczyciel nie będzie uchylał się od odpowiedzialności, wykazując brak stosowania zaleceń producenta czy instrukcji obsługi danego urządzenia itp. dodatkowych postanowień, wymaganych w OWU.</w:t>
      </w:r>
    </w:p>
    <w:p w14:paraId="29A1B972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" w:hAnsi="Arial" w:cs="Arial"/>
          <w:color w:val="000000" w:themeColor="text1"/>
          <w:lang w:eastAsia="pl-PL"/>
        </w:rPr>
      </w:pPr>
      <w:r w:rsidRPr="001A49A7">
        <w:rPr>
          <w:rFonts w:ascii="Arial" w:eastAsia="Arial" w:hAnsi="Arial" w:cs="Arial"/>
          <w:color w:val="000000" w:themeColor="text1"/>
          <w:lang w:eastAsia="pl-PL"/>
        </w:rPr>
        <w:t>Wykonawca wystawi stosowne dokumenty potwierdzające ubezpieczenie (polisy, certyfikaty itp.) w nieprzekraczalnym terminie 14 dni licząc od dnia obowiązywania umowy ubezpieczenia. Wykonawca zobowiązany jest do wystawienia dokumentu potwierdzającego ochronę ubezpieczeniową do czasu wystawienia polis.</w:t>
      </w:r>
    </w:p>
    <w:p w14:paraId="3C542617" w14:textId="1D4ABF42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" w:hAnsi="Arial" w:cs="Arial"/>
          <w:color w:val="000000" w:themeColor="text1"/>
          <w:lang w:eastAsia="pl-PL"/>
        </w:rPr>
      </w:pPr>
      <w:r w:rsidRPr="001A49A7">
        <w:rPr>
          <w:rFonts w:ascii="Arial" w:eastAsia="Arial" w:hAnsi="Arial" w:cs="Arial"/>
          <w:color w:val="000000" w:themeColor="text1"/>
          <w:lang w:eastAsia="pl-PL"/>
        </w:rPr>
        <w:lastRenderedPageBreak/>
        <w:t xml:space="preserve">Treść wystawionych dokumentów musi być zgodna z umową, </w:t>
      </w:r>
      <w:r w:rsidR="001A49A7" w:rsidRPr="001A49A7">
        <w:rPr>
          <w:rFonts w:ascii="Arial" w:eastAsia="Arial" w:hAnsi="Arial" w:cs="Arial"/>
          <w:lang w:eastAsia="pl-PL"/>
        </w:rPr>
        <w:t>z</w:t>
      </w:r>
      <w:r w:rsidR="00125814" w:rsidRPr="001A49A7">
        <w:rPr>
          <w:rFonts w:ascii="Arial" w:eastAsia="Arial" w:hAnsi="Arial" w:cs="Arial"/>
          <w:lang w:eastAsia="pl-PL"/>
        </w:rPr>
        <w:t xml:space="preserve">apytaniem </w:t>
      </w:r>
      <w:r w:rsidR="001A49A7" w:rsidRPr="001A49A7">
        <w:rPr>
          <w:rFonts w:ascii="Arial" w:eastAsia="Arial" w:hAnsi="Arial" w:cs="Arial"/>
          <w:lang w:eastAsia="pl-PL"/>
        </w:rPr>
        <w:t>o</w:t>
      </w:r>
      <w:r w:rsidR="00125814" w:rsidRPr="001A49A7">
        <w:rPr>
          <w:rFonts w:ascii="Arial" w:eastAsia="Arial" w:hAnsi="Arial" w:cs="Arial"/>
          <w:lang w:eastAsia="pl-PL"/>
        </w:rPr>
        <w:t xml:space="preserve">fertowym </w:t>
      </w:r>
      <w:r w:rsidRPr="001A49A7">
        <w:rPr>
          <w:rFonts w:ascii="Arial" w:eastAsia="Arial" w:hAnsi="Arial" w:cs="Arial"/>
          <w:lang w:eastAsia="pl-PL"/>
        </w:rPr>
        <w:t xml:space="preserve">oraz </w:t>
      </w:r>
      <w:r w:rsidRPr="001A49A7">
        <w:rPr>
          <w:rFonts w:ascii="Arial" w:eastAsia="Arial" w:hAnsi="Arial" w:cs="Arial"/>
          <w:color w:val="000000" w:themeColor="text1"/>
          <w:lang w:eastAsia="pl-PL"/>
        </w:rPr>
        <w:t>ofertą Wykonawcy. Zapisy w polisach lub innych wystawionych przez Wykonawcę dokumentach ubezpieczenia nie spełniające tego wymogu nie będą miały zastosowania przy realizacji umowy.</w:t>
      </w:r>
    </w:p>
    <w:p w14:paraId="31E52345" w14:textId="405C6C84" w:rsidR="00AC0448" w:rsidRPr="001A49A7" w:rsidRDefault="00AC0448" w:rsidP="001A49A7">
      <w:pPr>
        <w:keepLines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  <w:lang w:eastAsia="pl-PL"/>
        </w:rPr>
      </w:pPr>
      <w:r w:rsidRPr="001A49A7">
        <w:rPr>
          <w:rFonts w:ascii="Arial" w:eastAsia="Arial" w:hAnsi="Arial" w:cs="Arial"/>
          <w:color w:val="000000" w:themeColor="text1"/>
          <w:lang w:eastAsia="pl-PL"/>
        </w:rPr>
        <w:t>Brokerem pośredniczącym przy zawieraniu umów ubezpieczenia</w:t>
      </w:r>
      <w:r w:rsidR="00260939" w:rsidRPr="001A49A7">
        <w:rPr>
          <w:rFonts w:ascii="Arial" w:eastAsia="Arial" w:hAnsi="Arial" w:cs="Arial"/>
          <w:color w:val="000000" w:themeColor="text1"/>
          <w:lang w:eastAsia="pl-PL"/>
        </w:rPr>
        <w:t xml:space="preserve"> jest Konsorcjum Brokerów</w:t>
      </w:r>
      <w:r w:rsidRPr="001A49A7">
        <w:rPr>
          <w:rFonts w:ascii="Arial" w:eastAsia="Arial" w:hAnsi="Arial" w:cs="Arial"/>
          <w:color w:val="000000" w:themeColor="text1"/>
          <w:lang w:eastAsia="pl-PL"/>
        </w:rPr>
        <w:t>:</w:t>
      </w:r>
    </w:p>
    <w:p w14:paraId="553E920E" w14:textId="34BBE297" w:rsidR="00AC0448" w:rsidRPr="001A49A7" w:rsidRDefault="00AC0448" w:rsidP="001A49A7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  <w:lang w:eastAsia="pl-PL"/>
        </w:rPr>
      </w:pPr>
      <w:proofErr w:type="spellStart"/>
      <w:r w:rsidRPr="001A49A7">
        <w:rPr>
          <w:rFonts w:ascii="Arial" w:eastAsia="Arial" w:hAnsi="Arial" w:cs="Arial"/>
          <w:color w:val="000000" w:themeColor="text1"/>
          <w:lang w:eastAsia="pl-PL"/>
        </w:rPr>
        <w:t>Quatrobrokers</w:t>
      </w:r>
      <w:proofErr w:type="spellEnd"/>
      <w:r w:rsidRPr="001A49A7">
        <w:rPr>
          <w:rFonts w:ascii="Arial" w:eastAsia="Arial" w:hAnsi="Arial" w:cs="Arial"/>
          <w:color w:val="000000" w:themeColor="text1"/>
          <w:lang w:eastAsia="pl-PL"/>
        </w:rPr>
        <w:t xml:space="preserve"> Sp. z o.o. z siedzibą w Kielcach przy ul. Karola Olszewskiego 6, 25-663 Kielce, wpisanego do rejestru przedsiębiorców prowadzonego przez Sąd Rejonowy w Kielcach, X Wydział Gospodarczy Krajowego Rejestru Sądowego pod nr KRS 0000885497, NIP 9592040480, REGON 388225971, posiadającego zezwolenie KNF o numerze 2615/21., e-mail: </w:t>
      </w:r>
      <w:hyperlink r:id="rId8" w:history="1">
        <w:r w:rsidR="00603000" w:rsidRPr="001A49A7">
          <w:rPr>
            <w:rStyle w:val="Hipercze"/>
            <w:rFonts w:ascii="Arial" w:eastAsia="Arial" w:hAnsi="Arial" w:cs="Arial"/>
            <w:color w:val="000000" w:themeColor="text1"/>
            <w:lang w:eastAsia="pl-PL"/>
          </w:rPr>
          <w:t>kontakt@quatrobrokers.pl</w:t>
        </w:r>
      </w:hyperlink>
      <w:r w:rsidRPr="001A49A7">
        <w:rPr>
          <w:rFonts w:ascii="Arial" w:eastAsia="Arial" w:hAnsi="Arial" w:cs="Arial"/>
          <w:color w:val="000000" w:themeColor="text1"/>
          <w:lang w:eastAsia="pl-PL"/>
        </w:rPr>
        <w:t>.</w:t>
      </w:r>
    </w:p>
    <w:p w14:paraId="5E18E362" w14:textId="3C2B7FF6" w:rsidR="00E70A61" w:rsidRPr="001A49A7" w:rsidRDefault="00E70A61" w:rsidP="001A49A7">
      <w:pPr>
        <w:keepLines/>
        <w:spacing w:after="0" w:line="240" w:lineRule="auto"/>
        <w:rPr>
          <w:rFonts w:ascii="Arial" w:hAnsi="Arial" w:cs="Arial"/>
        </w:rPr>
      </w:pPr>
      <w:r w:rsidRPr="001A49A7">
        <w:rPr>
          <w:rFonts w:ascii="Arial" w:eastAsia="Arial Narrow" w:hAnsi="Arial" w:cs="Arial"/>
        </w:rPr>
        <w:t>MAK Ubezpieczenia Sp. z o.o. z siedzibą w Warszawie przy ul. Domaniewskiej 39, 02-672 Warszawa, wpisanego do rejestru przedsiębiorców prowadzonego przez Sąd Rejonowy dla m.st. Warszawy</w:t>
      </w:r>
      <w:r w:rsidR="00EA75B0" w:rsidRPr="001A49A7">
        <w:rPr>
          <w:rFonts w:ascii="Arial" w:eastAsia="Arial Narrow" w:hAnsi="Arial" w:cs="Arial"/>
        </w:rPr>
        <w:t xml:space="preserve"> w Warszawie</w:t>
      </w:r>
      <w:r w:rsidRPr="001A49A7">
        <w:rPr>
          <w:rFonts w:ascii="Arial" w:eastAsia="Arial Narrow" w:hAnsi="Arial" w:cs="Arial"/>
        </w:rPr>
        <w:t xml:space="preserve">, XIII Wydział Gospodarczy Krajowego Rejestru Sądowego pod nr KRS 0000030090, NIP 5221023203, REGON </w:t>
      </w:r>
      <w:r w:rsidR="00EA75B0" w:rsidRPr="001A49A7">
        <w:rPr>
          <w:rFonts w:ascii="Arial" w:eastAsia="Arial Narrow" w:hAnsi="Arial" w:cs="Arial"/>
        </w:rPr>
        <w:t>011128591</w:t>
      </w:r>
      <w:r w:rsidRPr="001A49A7">
        <w:rPr>
          <w:rFonts w:ascii="Arial" w:eastAsia="Arial Narrow" w:hAnsi="Arial" w:cs="Arial"/>
        </w:rPr>
        <w:t xml:space="preserve">, posiadającego zezwolenie KNF o </w:t>
      </w:r>
      <w:r w:rsidR="001A49A7" w:rsidRPr="001A49A7">
        <w:rPr>
          <w:rFonts w:ascii="Arial" w:eastAsia="Arial Narrow" w:hAnsi="Arial" w:cs="Arial"/>
        </w:rPr>
        <w:t>numerze 549/95.</w:t>
      </w:r>
    </w:p>
    <w:p w14:paraId="483181A6" w14:textId="77567A8C" w:rsidR="00AC0448" w:rsidRPr="001A49A7" w:rsidRDefault="001A49A7" w:rsidP="001A49A7">
      <w:pPr>
        <w:keepLines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  <w:lang w:eastAsia="pl-PL"/>
        </w:rPr>
      </w:pPr>
      <w:proofErr w:type="spellStart"/>
      <w:r w:rsidRPr="001A49A7">
        <w:rPr>
          <w:rFonts w:ascii="Arial" w:eastAsia="Arial Narrow" w:hAnsi="Arial" w:cs="Arial"/>
          <w:b/>
          <w:color w:val="000000" w:themeColor="text1"/>
          <w:lang w:eastAsia="pl-PL"/>
        </w:rPr>
        <w:t>podlimit</w:t>
      </w:r>
      <w:proofErr w:type="spellEnd"/>
      <w:r w:rsidRPr="001A49A7">
        <w:rPr>
          <w:rFonts w:ascii="Arial" w:eastAsia="Arial Narrow" w:hAnsi="Arial" w:cs="Arial"/>
          <w:b/>
          <w:color w:val="000000" w:themeColor="text1"/>
          <w:lang w:eastAsia="pl-PL"/>
        </w:rPr>
        <w:t xml:space="preserve"> ubezpieczenia </w:t>
      </w:r>
      <w:r w:rsidR="00AC0448" w:rsidRPr="001A49A7">
        <w:rPr>
          <w:rFonts w:ascii="Arial" w:eastAsia="Arial Narrow" w:hAnsi="Arial" w:cs="Arial"/>
          <w:b/>
          <w:color w:val="000000" w:themeColor="text1"/>
          <w:lang w:eastAsia="pl-PL"/>
        </w:rPr>
        <w:t xml:space="preserve">- </w:t>
      </w:r>
      <w:r w:rsidR="00AC0448" w:rsidRPr="001A49A7">
        <w:rPr>
          <w:rFonts w:ascii="Arial" w:eastAsia="Arial Narrow" w:hAnsi="Arial" w:cs="Arial"/>
          <w:color w:val="000000" w:themeColor="text1"/>
          <w:lang w:eastAsia="pl-PL"/>
        </w:rPr>
        <w:t xml:space="preserve">wszystkie </w:t>
      </w:r>
      <w:proofErr w:type="spellStart"/>
      <w:r w:rsidR="00AC0448" w:rsidRPr="001A49A7">
        <w:rPr>
          <w:rFonts w:ascii="Arial" w:eastAsia="Arial Narrow" w:hAnsi="Arial" w:cs="Arial"/>
          <w:color w:val="000000" w:themeColor="text1"/>
          <w:lang w:eastAsia="pl-PL"/>
        </w:rPr>
        <w:t>podlimity</w:t>
      </w:r>
      <w:proofErr w:type="spellEnd"/>
      <w:r w:rsidR="00AC0448" w:rsidRPr="001A49A7">
        <w:rPr>
          <w:rFonts w:ascii="Arial" w:eastAsia="Arial Narrow" w:hAnsi="Arial" w:cs="Arial"/>
          <w:color w:val="000000" w:themeColor="text1"/>
          <w:lang w:eastAsia="pl-PL"/>
        </w:rPr>
        <w:t xml:space="preserve"> określane są na jedno i wszystkie zdarzenia w 12-miesięcznym okresie ubezpieczenia, chyba że dalsze zapisy stanowią inaczej.</w:t>
      </w:r>
    </w:p>
    <w:p w14:paraId="2E4799D8" w14:textId="120037CE" w:rsidR="00AC0448" w:rsidRPr="001A49A7" w:rsidRDefault="001A49A7" w:rsidP="001A49A7">
      <w:pPr>
        <w:keepLines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 w:themeColor="text1"/>
          <w:lang w:eastAsia="pl-PL"/>
        </w:rPr>
      </w:pPr>
      <w:r w:rsidRPr="001A49A7">
        <w:rPr>
          <w:rFonts w:ascii="Arial" w:eastAsia="Arial Narrow" w:hAnsi="Arial" w:cs="Arial"/>
          <w:b/>
          <w:color w:val="000000" w:themeColor="text1"/>
          <w:lang w:eastAsia="pl-PL"/>
        </w:rPr>
        <w:t xml:space="preserve">rozstrzyganie sporów </w:t>
      </w:r>
      <w:r w:rsidR="00AC0448" w:rsidRPr="001A49A7">
        <w:rPr>
          <w:rFonts w:ascii="Arial" w:eastAsia="Arial Narrow" w:hAnsi="Arial" w:cs="Arial"/>
          <w:b/>
          <w:color w:val="000000" w:themeColor="text1"/>
          <w:lang w:eastAsia="pl-PL"/>
        </w:rPr>
        <w:t xml:space="preserve">- </w:t>
      </w:r>
      <w:r w:rsidR="00AC0448" w:rsidRPr="001A49A7">
        <w:rPr>
          <w:rFonts w:ascii="Arial" w:eastAsia="Arial Narrow" w:hAnsi="Arial" w:cs="Arial"/>
          <w:color w:val="000000" w:themeColor="text1"/>
          <w:lang w:eastAsia="pl-PL"/>
        </w:rPr>
        <w:t>strony uzgodniły, że: spory wynikłe z istnienia i stosowania niniejszej umowy strony mogą poddać pod rozstrzygnięcie sądu polubownego. W przypadku braku zapisu na sąd polubowny, właściwym będzie sąd siedziby Zamawiającego.</w:t>
      </w:r>
    </w:p>
    <w:p w14:paraId="0BE5B376" w14:textId="77777777" w:rsidR="00AC0448" w:rsidRPr="001A49A7" w:rsidRDefault="00AC0448" w:rsidP="001A49A7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arrow" w:hAnsi="Arial" w:cs="Arial"/>
          <w:color w:val="000000"/>
          <w:lang w:eastAsia="pl-PL"/>
        </w:rPr>
      </w:pPr>
    </w:p>
    <w:p w14:paraId="1454E031" w14:textId="329F537E" w:rsidR="00AC0448" w:rsidRPr="00A16230" w:rsidRDefault="00AC0448" w:rsidP="001A49A7">
      <w:pPr>
        <w:spacing w:after="0" w:line="240" w:lineRule="auto"/>
        <w:rPr>
          <w:rFonts w:ascii="Arial" w:eastAsia="Arial Narrow" w:hAnsi="Arial" w:cs="Arial"/>
          <w:b/>
          <w:bCs/>
          <w:color w:val="007BB8"/>
          <w:lang w:eastAsia="pl-PL"/>
        </w:rPr>
      </w:pPr>
    </w:p>
    <w:p w14:paraId="172976F8" w14:textId="0B0BA35A" w:rsidR="00AC0448" w:rsidRPr="00A16230" w:rsidRDefault="001A49A7" w:rsidP="00F475A8">
      <w:pPr>
        <w:keepLines/>
        <w:numPr>
          <w:ilvl w:val="0"/>
          <w:numId w:val="2"/>
        </w:numPr>
        <w:spacing w:after="0" w:line="240" w:lineRule="auto"/>
        <w:rPr>
          <w:rFonts w:ascii="Arial" w:eastAsia="Arial Narrow" w:hAnsi="Arial" w:cs="Arial"/>
          <w:bCs/>
          <w:color w:val="007BB8"/>
          <w:lang w:eastAsia="pl-PL"/>
        </w:rPr>
      </w:pPr>
      <w:r w:rsidRPr="00A16230">
        <w:rPr>
          <w:rFonts w:ascii="Arial" w:eastAsia="Arial Narrow" w:hAnsi="Arial" w:cs="Arial"/>
          <w:b/>
          <w:bCs/>
          <w:color w:val="007BB8"/>
          <w:lang w:eastAsia="pl-PL"/>
        </w:rPr>
        <w:t xml:space="preserve">Szczegółowy opis części zamówienia - ubezpieczenie </w:t>
      </w:r>
      <w:proofErr w:type="spellStart"/>
      <w:r w:rsidRPr="00A16230">
        <w:rPr>
          <w:rFonts w:ascii="Arial" w:eastAsia="Arial Narrow" w:hAnsi="Arial" w:cs="Arial"/>
          <w:b/>
          <w:bCs/>
          <w:color w:val="007BB8"/>
          <w:lang w:eastAsia="pl-PL"/>
        </w:rPr>
        <w:t>ryzyk</w:t>
      </w:r>
      <w:proofErr w:type="spellEnd"/>
      <w:r w:rsidRPr="00A16230">
        <w:rPr>
          <w:rFonts w:ascii="Arial" w:eastAsia="Arial Narrow" w:hAnsi="Arial" w:cs="Arial"/>
          <w:b/>
          <w:bCs/>
          <w:color w:val="007BB8"/>
          <w:lang w:eastAsia="pl-PL"/>
        </w:rPr>
        <w:t xml:space="preserve"> cybernetycznych (</w:t>
      </w:r>
      <w:proofErr w:type="spellStart"/>
      <w:r w:rsidRPr="00A16230">
        <w:rPr>
          <w:rFonts w:ascii="Arial" w:eastAsia="Arial Narrow" w:hAnsi="Arial" w:cs="Arial"/>
          <w:b/>
          <w:bCs/>
          <w:color w:val="007BB8"/>
          <w:lang w:eastAsia="pl-PL"/>
        </w:rPr>
        <w:t>cr</w:t>
      </w:r>
      <w:proofErr w:type="spellEnd"/>
      <w:r w:rsidRPr="00A16230">
        <w:rPr>
          <w:rFonts w:ascii="Arial" w:eastAsia="Arial Narrow" w:hAnsi="Arial" w:cs="Arial"/>
          <w:b/>
          <w:bCs/>
          <w:color w:val="007BB8"/>
          <w:lang w:eastAsia="pl-PL"/>
        </w:rPr>
        <w:t>)</w:t>
      </w:r>
    </w:p>
    <w:p w14:paraId="2CC5C04B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</w:p>
    <w:p w14:paraId="67D1AB9E" w14:textId="7A5A301E" w:rsidR="00AC0448" w:rsidRPr="00F475A8" w:rsidRDefault="001A49A7" w:rsidP="001A49A7">
      <w:pPr>
        <w:keepLines/>
        <w:numPr>
          <w:ilvl w:val="1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>
        <w:rPr>
          <w:rFonts w:ascii="Arial" w:eastAsia="Arial Narrow" w:hAnsi="Arial" w:cs="Arial"/>
          <w:b/>
          <w:bCs/>
          <w:color w:val="000000"/>
          <w:lang w:eastAsia="pl-PL"/>
        </w:rPr>
        <w:t>P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rzedmiot ubezpieczenia i zakres terytorialny</w:t>
      </w:r>
    </w:p>
    <w:p w14:paraId="71B1B239" w14:textId="1B72C6A6" w:rsidR="00AC0448" w:rsidRPr="00F475A8" w:rsidRDefault="00F475A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color w:val="000000"/>
          <w:lang w:eastAsia="pl-PL"/>
        </w:rPr>
      </w:pPr>
      <w:r w:rsidRPr="00F475A8">
        <w:rPr>
          <w:rFonts w:ascii="Arial" w:eastAsia="Arial Narrow" w:hAnsi="Arial" w:cs="Arial"/>
          <w:color w:val="000000"/>
          <w:lang w:eastAsia="pl-PL"/>
        </w:rPr>
        <w:t>przedmiot ubezpieczenia</w:t>
      </w:r>
    </w:p>
    <w:p w14:paraId="66904A6C" w14:textId="6843F803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Zakres ubezpieczenia obejmuje naruszenie prawa dotyczącego ochrony danych, w</w:t>
      </w:r>
      <w:r w:rsidR="00D12C29">
        <w:rPr>
          <w:rFonts w:ascii="Arial" w:eastAsia="Arial Narrow" w:hAnsi="Arial" w:cs="Arial"/>
          <w:bCs/>
          <w:color w:val="000000"/>
          <w:lang w:eastAsia="pl-PL"/>
        </w:rPr>
        <w:t> </w:t>
      </w:r>
      <w:r w:rsidRPr="001A49A7">
        <w:rPr>
          <w:rFonts w:ascii="Arial" w:eastAsia="Arial Narrow" w:hAnsi="Arial" w:cs="Arial"/>
          <w:bCs/>
          <w:color w:val="000000"/>
          <w:lang w:eastAsia="pl-PL"/>
        </w:rPr>
        <w:t>szczególności regulacji RODO - Rozporządzenie Parlamentu Europejskiego i Rady (UE) 2016/679 z dnia 27 kwietnia 2016 r. w sprawie ochrony osób fizycznych w związku z</w:t>
      </w:r>
      <w:r w:rsidR="00D12C29">
        <w:rPr>
          <w:rFonts w:ascii="Arial" w:eastAsia="Arial Narrow" w:hAnsi="Arial" w:cs="Arial"/>
          <w:bCs/>
          <w:color w:val="000000"/>
          <w:lang w:eastAsia="pl-PL"/>
        </w:rPr>
        <w:t> </w:t>
      </w:r>
      <w:r w:rsidRPr="001A49A7">
        <w:rPr>
          <w:rFonts w:ascii="Arial" w:eastAsia="Arial Narrow" w:hAnsi="Arial" w:cs="Arial"/>
          <w:bCs/>
          <w:color w:val="000000"/>
          <w:lang w:eastAsia="pl-PL"/>
        </w:rPr>
        <w:t>przetwarzaniem danych osobowych i w sprawie swobodnego przepływu takich danych oraz uchylenia dyrektywy 95/46/WE (ogólne rozporządzenie o ochronie danych) i odpowiednie przepisy prawa krajowego wydane na jego podstawie.</w:t>
      </w:r>
    </w:p>
    <w:p w14:paraId="488402FA" w14:textId="2A48154F" w:rsidR="00AC0448" w:rsidRPr="00F475A8" w:rsidRDefault="00F475A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color w:val="000000"/>
          <w:lang w:eastAsia="pl-PL"/>
        </w:rPr>
      </w:pPr>
      <w:r w:rsidRPr="00F475A8">
        <w:rPr>
          <w:rFonts w:ascii="Arial" w:eastAsia="Arial Narrow" w:hAnsi="Arial" w:cs="Arial"/>
          <w:color w:val="000000"/>
          <w:lang w:eastAsia="pl-PL"/>
        </w:rPr>
        <w:t>zakres terytorialny</w:t>
      </w:r>
    </w:p>
    <w:p w14:paraId="55E018EA" w14:textId="6EEBAED5" w:rsidR="00AC0448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Wszystkie miejsca prowadzenia działalności oraz lokalizacje, w których znajduje się mienie Zamawiającego.</w:t>
      </w:r>
      <w:r w:rsidRPr="001A49A7">
        <w:rPr>
          <w:rFonts w:ascii="Arial" w:eastAsia="Arial Narrow" w:hAnsi="Arial" w:cs="Arial"/>
          <w:bCs/>
          <w:color w:val="000000"/>
          <w:lang w:eastAsia="pl-PL"/>
        </w:rPr>
        <w:br/>
        <w:t>Zakres terytorialny ubezpieczenia obejmuje wypadki, które wynikają z działań bądź zaniechań mających miejsce na terytorium całego świata.</w:t>
      </w:r>
    </w:p>
    <w:p w14:paraId="499738C3" w14:textId="77777777" w:rsidR="00F475A8" w:rsidRPr="001A49A7" w:rsidRDefault="00F475A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</w:p>
    <w:p w14:paraId="11289BA8" w14:textId="2C857E40" w:rsidR="00AC0448" w:rsidRPr="001A49A7" w:rsidRDefault="00F475A8" w:rsidP="001A49A7">
      <w:pPr>
        <w:keepLines/>
        <w:numPr>
          <w:ilvl w:val="1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>
        <w:rPr>
          <w:rFonts w:ascii="Arial" w:eastAsia="Arial Narrow" w:hAnsi="Arial" w:cs="Arial"/>
          <w:b/>
          <w:bCs/>
          <w:color w:val="000000"/>
          <w:lang w:eastAsia="pl-PL"/>
        </w:rPr>
        <w:t>Z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akres ubezpieczenia</w:t>
      </w:r>
    </w:p>
    <w:p w14:paraId="5DE83CEB" w14:textId="73240943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Ochrona ubezpieczeniowa zapewnia pokrycie kosztów:</w:t>
      </w:r>
    </w:p>
    <w:p w14:paraId="3175E8C0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zawiadomienia osób, których dane dotyczą,</w:t>
      </w:r>
    </w:p>
    <w:p w14:paraId="136EDE60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postępowań administracyjnych,</w:t>
      </w:r>
    </w:p>
    <w:p w14:paraId="1F55CD70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kar administracyjnych,</w:t>
      </w:r>
    </w:p>
    <w:p w14:paraId="39B6FCE2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odpowiedzialność za dane osobowe – pokrycie kosztów utraty lub bezprawnego użycia danych klientów lub pracowników,</w:t>
      </w:r>
    </w:p>
    <w:p w14:paraId="3C10309C" w14:textId="0DC4F1AA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lastRenderedPageBreak/>
        <w:t>zarządzanie kryzysowe – pokrycie kosztów zarządzania kryzysowego związanego z</w:t>
      </w:r>
      <w:r w:rsidR="00D12C29">
        <w:rPr>
          <w:rFonts w:ascii="Arial" w:eastAsia="Arial Narrow" w:hAnsi="Arial" w:cs="Arial"/>
          <w:bCs/>
          <w:color w:val="000000"/>
          <w:lang w:eastAsia="pl-PL"/>
        </w:rPr>
        <w:t> </w:t>
      </w:r>
      <w:r w:rsidRPr="001A49A7">
        <w:rPr>
          <w:rFonts w:ascii="Arial" w:eastAsia="Arial Narrow" w:hAnsi="Arial" w:cs="Arial"/>
          <w:bCs/>
          <w:color w:val="000000"/>
          <w:lang w:eastAsia="pl-PL"/>
        </w:rPr>
        <w:t>atakiem cybernetycznym, w tym usług świadczonych przez specjalistów IT zarządzających ryzykiem cybernetycznym, kosztów wynagrodzenia prawników oraz konsultantów PR, których zadaniem jest odbudowa reputacji firmy lub wizerunku osób indywidualnych, koszty śledztwa - koszty śledztwa informatycznego po zaistnieniu naruszenia bezpieczeństwa danych oraz niezbędne koszty powiadomień osób, których dane mogły zostać naruszone w</w:t>
      </w:r>
      <w:r w:rsidR="00D12C29">
        <w:rPr>
          <w:rFonts w:ascii="Arial" w:eastAsia="Arial Narrow" w:hAnsi="Arial" w:cs="Arial"/>
          <w:bCs/>
          <w:color w:val="000000"/>
          <w:lang w:eastAsia="pl-PL"/>
        </w:rPr>
        <w:t> </w:t>
      </w:r>
      <w:r w:rsidRPr="001A49A7">
        <w:rPr>
          <w:rFonts w:ascii="Arial" w:eastAsia="Arial Narrow" w:hAnsi="Arial" w:cs="Arial"/>
          <w:bCs/>
          <w:color w:val="000000"/>
          <w:lang w:eastAsia="pl-PL"/>
        </w:rPr>
        <w:t>wyniku wycieku, postępowania administracyjne - koszty porad prawnych związanych z</w:t>
      </w:r>
      <w:r w:rsidR="00D12C29">
        <w:rPr>
          <w:rFonts w:ascii="Arial" w:eastAsia="Arial Narrow" w:hAnsi="Arial" w:cs="Arial"/>
          <w:bCs/>
          <w:color w:val="000000"/>
          <w:lang w:eastAsia="pl-PL"/>
        </w:rPr>
        <w:t> </w:t>
      </w:r>
      <w:r w:rsidRPr="001A49A7">
        <w:rPr>
          <w:rFonts w:ascii="Arial" w:eastAsia="Arial Narrow" w:hAnsi="Arial" w:cs="Arial"/>
          <w:bCs/>
          <w:color w:val="000000"/>
          <w:lang w:eastAsia="pl-PL"/>
        </w:rPr>
        <w:t>postępowaniem prowadzonym przez organ uprawniony do nadzoru nad bezpieczeństwem i</w:t>
      </w:r>
      <w:r w:rsidR="00D12C29">
        <w:rPr>
          <w:rFonts w:ascii="Arial" w:eastAsia="Arial Narrow" w:hAnsi="Arial" w:cs="Arial"/>
          <w:bCs/>
          <w:color w:val="000000"/>
          <w:lang w:eastAsia="pl-PL"/>
        </w:rPr>
        <w:t> </w:t>
      </w:r>
      <w:r w:rsidRPr="001A49A7">
        <w:rPr>
          <w:rFonts w:ascii="Arial" w:eastAsia="Arial Narrow" w:hAnsi="Arial" w:cs="Arial"/>
          <w:bCs/>
          <w:color w:val="000000"/>
          <w:lang w:eastAsia="pl-PL"/>
        </w:rPr>
        <w:t>przechowywaniem danych (Generalny Inspektor Ochrony Danych Osobowych), jak również kar administracyjnych nałożonych przez właściwy urząd, dane elektroniczne - ubezpieczenie pokrywa koszty odzyskania lub odtworzenia danych elektronicznych.</w:t>
      </w:r>
    </w:p>
    <w:p w14:paraId="5425A796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zakłócenia w działaniu sieci - pokrycie kosztów utraty zysku spowodowanego zakłóceniem działania sieci Ubezpieczonego w następstwie naruszenia bezpieczeństwa danych,</w:t>
      </w:r>
    </w:p>
    <w:p w14:paraId="439B1A4E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próba szantażu/ wymuszenia - pokrycie kosztów niezależnych doradców, w celu ustalenia okoliczności szantażu, jak również kwoty okupu na rzecz osoby trzeciej grożącej.</w:t>
      </w:r>
    </w:p>
    <w:p w14:paraId="304D02FF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</w:p>
    <w:p w14:paraId="1578B041" w14:textId="533E8430" w:rsidR="00AC0448" w:rsidRPr="001A49A7" w:rsidRDefault="00F475A8" w:rsidP="001A49A7">
      <w:pPr>
        <w:keepLines/>
        <w:numPr>
          <w:ilvl w:val="1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>
        <w:rPr>
          <w:rFonts w:ascii="Arial" w:eastAsia="Arial Narrow" w:hAnsi="Arial" w:cs="Arial"/>
          <w:b/>
          <w:bCs/>
          <w:color w:val="000000"/>
          <w:lang w:eastAsia="pl-PL"/>
        </w:rPr>
        <w:t>S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uma, system ubezpieczenia, limity</w:t>
      </w:r>
    </w:p>
    <w:p w14:paraId="520E6941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Suma ubezpieczenia - 10.000.000 zł na jeden i wszystkie wypadki ubezpieczeniowe łącznie w okresie ubezpieczenia</w:t>
      </w:r>
      <w:r w:rsidRPr="001A49A7">
        <w:rPr>
          <w:rFonts w:ascii="Arial" w:eastAsia="Arial Narrow" w:hAnsi="Arial" w:cs="Arial"/>
          <w:bCs/>
          <w:color w:val="000000"/>
          <w:lang w:eastAsia="pl-PL"/>
        </w:rPr>
        <w:br/>
      </w:r>
      <w:proofErr w:type="spellStart"/>
      <w:r w:rsidRPr="001A49A7">
        <w:rPr>
          <w:rFonts w:ascii="Arial" w:eastAsia="Arial Narrow" w:hAnsi="Arial" w:cs="Arial"/>
          <w:bCs/>
          <w:color w:val="000000"/>
          <w:lang w:eastAsia="pl-PL"/>
        </w:rPr>
        <w:t>Podlimity</w:t>
      </w:r>
      <w:proofErr w:type="spellEnd"/>
      <w:r w:rsidRPr="001A49A7">
        <w:rPr>
          <w:rFonts w:ascii="Arial" w:eastAsia="Arial Narrow" w:hAnsi="Arial" w:cs="Arial"/>
          <w:bCs/>
          <w:color w:val="000000"/>
          <w:lang w:eastAsia="pl-PL"/>
        </w:rPr>
        <w:t>: do pełnej sumy ubezpieczenia</w:t>
      </w:r>
    </w:p>
    <w:p w14:paraId="0DE8D2EF" w14:textId="77777777" w:rsidR="00AC0448" w:rsidRPr="001A49A7" w:rsidRDefault="00AC0448" w:rsidP="001A49A7">
      <w:pPr>
        <w:keepLines/>
        <w:spacing w:after="0" w:line="240" w:lineRule="auto"/>
        <w:ind w:left="720"/>
        <w:rPr>
          <w:rFonts w:ascii="Arial" w:eastAsia="Arial Narrow" w:hAnsi="Arial" w:cs="Arial"/>
          <w:bCs/>
          <w:color w:val="000000"/>
          <w:lang w:eastAsia="pl-PL"/>
        </w:rPr>
      </w:pPr>
    </w:p>
    <w:p w14:paraId="2DC23F27" w14:textId="659851B3" w:rsidR="00AC0448" w:rsidRPr="00F475A8" w:rsidRDefault="00F475A8" w:rsidP="001A49A7">
      <w:pPr>
        <w:keepLines/>
        <w:numPr>
          <w:ilvl w:val="1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>
        <w:rPr>
          <w:rFonts w:ascii="Arial" w:eastAsia="Arial Narrow" w:hAnsi="Arial" w:cs="Arial"/>
          <w:b/>
          <w:bCs/>
          <w:color w:val="000000"/>
          <w:lang w:eastAsia="pl-PL"/>
        </w:rPr>
        <w:t>F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ranszyzy i udziały własne</w:t>
      </w:r>
    </w:p>
    <w:p w14:paraId="0FFD86B3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Zakres obligatoryjny:</w:t>
      </w:r>
    </w:p>
    <w:p w14:paraId="0AE60455" w14:textId="7C362086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Udział własny w szkodzie: 100.000 zł na jeden wypadek ubezpieczeniowy.</w:t>
      </w:r>
      <w:r w:rsidRPr="001A49A7">
        <w:rPr>
          <w:rFonts w:ascii="Arial" w:eastAsia="Arial Narrow" w:hAnsi="Arial" w:cs="Arial"/>
          <w:bCs/>
          <w:color w:val="000000"/>
          <w:lang w:eastAsia="pl-PL"/>
        </w:rPr>
        <w:tab/>
      </w:r>
      <w:r w:rsidRPr="001A49A7">
        <w:rPr>
          <w:rFonts w:ascii="Arial" w:eastAsia="Arial Narrow" w:hAnsi="Arial" w:cs="Arial"/>
          <w:bCs/>
          <w:color w:val="000000"/>
          <w:lang w:eastAsia="pl-PL"/>
        </w:rPr>
        <w:br/>
        <w:t>Okres wyczekiwania dla utraty zysku: 24 godziny</w:t>
      </w:r>
    </w:p>
    <w:p w14:paraId="3540DDE9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Zakres fakultatywny (punktowany):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ab/>
      </w:r>
      <w:r w:rsidRPr="001A49A7">
        <w:rPr>
          <w:rFonts w:ascii="Arial" w:eastAsia="Arial Narrow" w:hAnsi="Arial" w:cs="Arial"/>
          <w:bCs/>
          <w:color w:val="000000"/>
          <w:lang w:eastAsia="pl-PL"/>
        </w:rPr>
        <w:br/>
        <w:t xml:space="preserve">Udział własny w szkodzie: 50.000zł na jeden wypadek ubezpieczeniowy - 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10 punktów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ab/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br/>
      </w:r>
      <w:r w:rsidRPr="001A49A7">
        <w:rPr>
          <w:rFonts w:ascii="Arial" w:eastAsia="Arial Narrow" w:hAnsi="Arial" w:cs="Arial"/>
          <w:bCs/>
          <w:color w:val="000000"/>
          <w:lang w:eastAsia="pl-PL"/>
        </w:rPr>
        <w:t xml:space="preserve">Udział własny w szkodzie: 30.000zł na jeden wypadek ubezpieczeniowy - 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20 punktów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ab/>
      </w:r>
      <w:r w:rsidRPr="001A49A7">
        <w:rPr>
          <w:rFonts w:ascii="Arial" w:eastAsia="Arial Narrow" w:hAnsi="Arial" w:cs="Arial"/>
          <w:bCs/>
          <w:color w:val="000000"/>
          <w:lang w:eastAsia="pl-PL"/>
        </w:rPr>
        <w:br/>
        <w:t>Udział własny w szkodzie: 20.000zł na jeden wypadek ubezpieczeniowy -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 xml:space="preserve"> 30 punktów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ab/>
      </w:r>
      <w:r w:rsidRPr="001A49A7">
        <w:rPr>
          <w:rFonts w:ascii="Arial" w:eastAsia="Arial Narrow" w:hAnsi="Arial" w:cs="Arial"/>
          <w:bCs/>
          <w:color w:val="000000"/>
          <w:lang w:eastAsia="pl-PL"/>
        </w:rPr>
        <w:br/>
        <w:t xml:space="preserve">Udział własny w szkodzie: 10.000zł na jeden wypadek ubezpieczeniowy - 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40 punktów</w:t>
      </w:r>
    </w:p>
    <w:p w14:paraId="148E13DB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/>
          <w:bCs/>
          <w:color w:val="000000"/>
          <w:lang w:eastAsia="pl-PL"/>
        </w:rPr>
      </w:pPr>
    </w:p>
    <w:p w14:paraId="299C74BA" w14:textId="16C1C1EF" w:rsidR="00AC0448" w:rsidRPr="001A49A7" w:rsidRDefault="00F475A8" w:rsidP="001A49A7">
      <w:pPr>
        <w:keepLines/>
        <w:numPr>
          <w:ilvl w:val="1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>
        <w:rPr>
          <w:rFonts w:ascii="Arial" w:eastAsia="Arial Narrow" w:hAnsi="Arial" w:cs="Arial"/>
          <w:b/>
          <w:bCs/>
          <w:color w:val="000000"/>
          <w:lang w:eastAsia="pl-PL"/>
        </w:rPr>
        <w:t>D</w:t>
      </w: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efinicje</w:t>
      </w:r>
      <w:r w:rsidR="00E24FFB">
        <w:rPr>
          <w:rFonts w:ascii="Arial" w:eastAsia="Arial Narrow" w:hAnsi="Arial" w:cs="Arial"/>
          <w:b/>
          <w:bCs/>
          <w:color w:val="000000"/>
          <w:lang w:eastAsia="pl-PL"/>
        </w:rPr>
        <w:t>:</w:t>
      </w:r>
    </w:p>
    <w:p w14:paraId="7236D7F0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 xml:space="preserve">Wypadek ubezpieczeniowy - </w:t>
      </w:r>
      <w:r w:rsidRPr="001A49A7">
        <w:rPr>
          <w:rFonts w:ascii="Arial" w:eastAsia="Arial Narrow" w:hAnsi="Arial" w:cs="Arial"/>
          <w:bCs/>
          <w:color w:val="000000"/>
          <w:lang w:eastAsia="pl-PL"/>
        </w:rPr>
        <w:t>wniesienie po raz pierwszy roszczenia przeciwko Ubezpieczonemu (lub Ubezpieczycielowi, o ile roszczenie dotyczy odpowiedzialności cywilnej Ubezpieczonego za wyrządzoną szkodę),</w:t>
      </w:r>
    </w:p>
    <w:p w14:paraId="3D070042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Koszty obrony:</w:t>
      </w:r>
    </w:p>
    <w:p w14:paraId="50A1B75F" w14:textId="77777777" w:rsidR="00AC0448" w:rsidRPr="001A49A7" w:rsidRDefault="00AC044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uzasadnione i niezbędne koszty porad prawnych i reprezentacji prawnej, mające na celu obronę lub zawarcie ugody w sprawie Roszczenia lub Postępowania regulacyjnego, poniesione przez Ubezpieczonego za uprzednią pisemną zgodą Ubezpieczyciela,</w:t>
      </w:r>
    </w:p>
    <w:p w14:paraId="670497B8" w14:textId="77777777" w:rsidR="00AC0448" w:rsidRPr="001A49A7" w:rsidRDefault="00AC044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Inne koszty, opłaty i wydatki wynikające z oceny, obrony lub odwołania w sprawie Roszczenia lub Postępowania regulacyjnego poniesione przez Ubezpieczyciela lub przez Ubezpieczonego za uprzednią zgodą Ubezpieczyciela.</w:t>
      </w:r>
    </w:p>
    <w:p w14:paraId="363D5060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Koszty obrony nie obejmują wynagrodzeń, płac, zasiłków, kosztów podróży, kosztów nadgodzin Ubezpieczonego lub Pracowników poniesionych w związku ze współpracą przy ocenie, rozpatrywaniu zasadności lub obronie przed Roszczeniem lub okolicznościami, które mogą prowadzić do zgłoszenia Roszczenia</w:t>
      </w:r>
    </w:p>
    <w:p w14:paraId="6941473E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Odszkodowanie:</w:t>
      </w:r>
    </w:p>
    <w:p w14:paraId="08570399" w14:textId="77777777" w:rsidR="00AC0448" w:rsidRPr="001A49A7" w:rsidRDefault="00AC044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kwoty pieniężne, do których zapłaty Ubezpieczony jest prawnie zobowiązany na podstawie wyroku sądowego, w tym wyroku sądu arbitrażowego, ugody zawartej za uprzednią pisemną zgodą Ubezpieczyciela lub uznania roszczenia dokonanego za uprzednią pisemną zgodą Ubezpieczyciela,</w:t>
      </w:r>
    </w:p>
    <w:p w14:paraId="0D31B18B" w14:textId="77777777" w:rsidR="00AC0448" w:rsidRPr="001A49A7" w:rsidRDefault="00AC044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kary administracyjne.</w:t>
      </w:r>
    </w:p>
    <w:p w14:paraId="4674D45F" w14:textId="77777777" w:rsidR="00AC0448" w:rsidRDefault="00AC0448" w:rsidP="001A49A7">
      <w:pPr>
        <w:keepLines/>
        <w:spacing w:after="0" w:line="240" w:lineRule="auto"/>
        <w:ind w:left="1440"/>
        <w:rPr>
          <w:rFonts w:ascii="Arial" w:eastAsia="Arial Narrow" w:hAnsi="Arial" w:cs="Arial"/>
          <w:bCs/>
          <w:color w:val="000000"/>
          <w:lang w:eastAsia="pl-PL"/>
        </w:rPr>
      </w:pPr>
    </w:p>
    <w:p w14:paraId="442D742D" w14:textId="77777777" w:rsidR="00F475A8" w:rsidRDefault="00F475A8" w:rsidP="001A49A7">
      <w:pPr>
        <w:keepLines/>
        <w:spacing w:after="0" w:line="240" w:lineRule="auto"/>
        <w:ind w:left="1440"/>
        <w:rPr>
          <w:rFonts w:ascii="Arial" w:eastAsia="Arial Narrow" w:hAnsi="Arial" w:cs="Arial"/>
          <w:bCs/>
          <w:color w:val="000000"/>
          <w:lang w:eastAsia="pl-PL"/>
        </w:rPr>
      </w:pPr>
    </w:p>
    <w:p w14:paraId="7ABD5EA0" w14:textId="77777777" w:rsidR="00F475A8" w:rsidRPr="001A49A7" w:rsidRDefault="00F475A8" w:rsidP="001A49A7">
      <w:pPr>
        <w:keepLines/>
        <w:spacing w:after="0" w:line="240" w:lineRule="auto"/>
        <w:ind w:left="1440"/>
        <w:rPr>
          <w:rFonts w:ascii="Arial" w:eastAsia="Arial Narrow" w:hAnsi="Arial" w:cs="Arial"/>
          <w:bCs/>
          <w:color w:val="000000"/>
          <w:lang w:eastAsia="pl-PL"/>
        </w:rPr>
      </w:pPr>
    </w:p>
    <w:p w14:paraId="0B04272B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lastRenderedPageBreak/>
        <w:t>Odszkodowanie nie obejmuje:</w:t>
      </w:r>
    </w:p>
    <w:p w14:paraId="395F4A41" w14:textId="77777777" w:rsidR="00AC0448" w:rsidRPr="001A49A7" w:rsidRDefault="00AC0448" w:rsidP="001A49A7">
      <w:pPr>
        <w:keepLines/>
        <w:numPr>
          <w:ilvl w:val="0"/>
          <w:numId w:val="1"/>
        </w:numPr>
        <w:spacing w:after="0" w:line="240" w:lineRule="auto"/>
        <w:ind w:left="709" w:hanging="480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przyszłych zysków Ubezpieczonego lub bezpodstawnie uzyskanych korzyści, kosztów zabezpieczenia roszczenia, wykonania lub należytego wykonania zobowiązania lub wykonania zastępczego,</w:t>
      </w:r>
    </w:p>
    <w:p w14:paraId="17B06AD8" w14:textId="77777777" w:rsidR="00AC0448" w:rsidRPr="001A49A7" w:rsidRDefault="00AC0448" w:rsidP="001A49A7">
      <w:pPr>
        <w:keepLines/>
        <w:numPr>
          <w:ilvl w:val="0"/>
          <w:numId w:val="1"/>
        </w:numPr>
        <w:spacing w:after="0" w:line="240" w:lineRule="auto"/>
        <w:ind w:left="709" w:hanging="480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zwrotu lub wyrównania wynagrodzeń, opłat, podatków, opłat licencyjnych lub prowizji za dostarczone lub świadczone dobra lub usługi, bądź też dobra lub usługi, które mają być dostarczone lub świadczone,</w:t>
      </w:r>
    </w:p>
    <w:p w14:paraId="65FFA207" w14:textId="77777777" w:rsidR="00AC0448" w:rsidRPr="001A49A7" w:rsidRDefault="00AC0448" w:rsidP="001A49A7">
      <w:pPr>
        <w:keepLines/>
        <w:numPr>
          <w:ilvl w:val="0"/>
          <w:numId w:val="1"/>
        </w:numPr>
        <w:spacing w:after="0" w:line="240" w:lineRule="auto"/>
        <w:ind w:left="709" w:hanging="480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jakiekolwiek kary lub grzywny, poza karami administracyjnymi,</w:t>
      </w:r>
    </w:p>
    <w:p w14:paraId="1AF7E446" w14:textId="77777777" w:rsidR="00AC0448" w:rsidRPr="001A49A7" w:rsidRDefault="00AC0448" w:rsidP="001A49A7">
      <w:pPr>
        <w:keepLines/>
        <w:numPr>
          <w:ilvl w:val="0"/>
          <w:numId w:val="1"/>
        </w:numPr>
        <w:spacing w:after="0" w:line="240" w:lineRule="auto"/>
        <w:ind w:left="709" w:hanging="480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jakiekolwiek kwoty, których Ubezpieczony nie jest prawnie zobowiązany do zapłaty,</w:t>
      </w:r>
    </w:p>
    <w:p w14:paraId="32FD2354" w14:textId="77777777" w:rsidR="00AC0448" w:rsidRPr="001A49A7" w:rsidRDefault="00AC0448" w:rsidP="001A49A7">
      <w:pPr>
        <w:keepLines/>
        <w:numPr>
          <w:ilvl w:val="0"/>
          <w:numId w:val="1"/>
        </w:numPr>
        <w:spacing w:after="0" w:line="240" w:lineRule="auto"/>
        <w:ind w:left="709" w:hanging="480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kwot, których zapłata nie stanowi rekompensaty poniesionej szkody, w szczególności odszkodowań o charakterze karnym lub w wysokości przewyższającej wartość poniesionej szkody,</w:t>
      </w:r>
    </w:p>
    <w:p w14:paraId="34411573" w14:textId="77777777" w:rsidR="00AC0448" w:rsidRPr="001A49A7" w:rsidRDefault="00AC0448" w:rsidP="001A49A7">
      <w:pPr>
        <w:keepLines/>
        <w:numPr>
          <w:ilvl w:val="0"/>
          <w:numId w:val="1"/>
        </w:numPr>
        <w:spacing w:after="0" w:line="240" w:lineRule="auto"/>
        <w:ind w:left="709" w:hanging="480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jakichkolwiek kwot zasądzonych na rzecz instytucji charytatywnych, chyba że taka instytucja jest osobą poszkodowaną,</w:t>
      </w:r>
    </w:p>
    <w:p w14:paraId="3FE09EA4" w14:textId="77777777" w:rsidR="00AC0448" w:rsidRPr="001A49A7" w:rsidRDefault="00AC0448" w:rsidP="001A49A7">
      <w:pPr>
        <w:keepLines/>
        <w:numPr>
          <w:ilvl w:val="0"/>
          <w:numId w:val="1"/>
        </w:numPr>
        <w:spacing w:after="0" w:line="240" w:lineRule="auto"/>
        <w:ind w:left="709" w:hanging="480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kwot, których zapłata jest niezgodna z porządkiem prawnym, które reguluje Umowę ubezpieczenia zawartą na podstawie warunków ubezpieczenia.</w:t>
      </w:r>
    </w:p>
    <w:p w14:paraId="2732C675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</w:p>
    <w:p w14:paraId="61F437EA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Roszczenie:</w:t>
      </w:r>
    </w:p>
    <w:p w14:paraId="7111FBCC" w14:textId="77777777" w:rsidR="00AC0448" w:rsidRPr="001A49A7" w:rsidRDefault="00AC044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pisemne żądanie doręczone Ubezpieczonemu o zapłatę lub świadczenie, w tym także pozew sądowy</w:t>
      </w:r>
    </w:p>
    <w:p w14:paraId="59F5C19C" w14:textId="77777777" w:rsidR="00AC0448" w:rsidRPr="001A49A7" w:rsidRDefault="00AC044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pisemne żądanie zabezpieczenie świadczenia, w tym także pozew o zabezpieczenie świadczenia,</w:t>
      </w:r>
    </w:p>
    <w:p w14:paraId="44116B4B" w14:textId="4884358B" w:rsidR="00AC0448" w:rsidRPr="001A49A7" w:rsidRDefault="00AC044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wszczęcie Postępowania regulacyjnego przeciwko Ubezpieczonemu,</w:t>
      </w:r>
    </w:p>
    <w:p w14:paraId="6B4DEC1E" w14:textId="77777777" w:rsidR="00AC0448" w:rsidRPr="001A49A7" w:rsidRDefault="00AC044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więcej niż jedno Roszczenie wynikające z tego samego lub serii powiązanych lub powtórzonych bądź powtarzających się działań, błędów lub zaniechań lub z trwających działań, błędów lub zaniechań stanowią jedno Roszczenie w rozumieniu niniejszej Umowy ubezpieczenia bez względu na ilość roszczących lub Ubezpieczonych, których dotyczy Roszczenie. Wszystkie takie Roszczenia uważane będą za zgłoszone w chwili zgłoszenia pierwszego z nich.</w:t>
      </w:r>
    </w:p>
    <w:p w14:paraId="27682CDE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</w:p>
    <w:p w14:paraId="628DFEC3" w14:textId="77777777" w:rsidR="00AC0448" w:rsidRPr="001A49A7" w:rsidRDefault="00AC0448" w:rsidP="001A49A7">
      <w:pPr>
        <w:keepLines/>
        <w:numPr>
          <w:ilvl w:val="2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/>
          <w:bCs/>
          <w:color w:val="000000"/>
          <w:lang w:eastAsia="pl-PL"/>
        </w:rPr>
        <w:t>Szkoda oznacza:</w:t>
      </w:r>
    </w:p>
    <w:p w14:paraId="7C736EEE" w14:textId="08E13B1D" w:rsidR="00AC0448" w:rsidRPr="001A49A7" w:rsidRDefault="00F475A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utracony zysk,</w:t>
      </w:r>
    </w:p>
    <w:p w14:paraId="73739678" w14:textId="40F3B6AA" w:rsidR="00AC0448" w:rsidRPr="001A49A7" w:rsidRDefault="00F475A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koszty odtworzenia,</w:t>
      </w:r>
    </w:p>
    <w:p w14:paraId="34607D18" w14:textId="5E0E7848" w:rsidR="00AC0448" w:rsidRPr="001A49A7" w:rsidRDefault="00F475A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koszty obrony,</w:t>
      </w:r>
    </w:p>
    <w:p w14:paraId="74ABD32A" w14:textId="04CFD8BC" w:rsidR="00AC0448" w:rsidRPr="001A49A7" w:rsidRDefault="00F475A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koszty badania zaufania klientów,</w:t>
      </w:r>
    </w:p>
    <w:p w14:paraId="7ED0DD1A" w14:textId="6CC30D38" w:rsidR="00AC0448" w:rsidRPr="001A49A7" w:rsidRDefault="00F475A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koszty zarządzania kryzysowego,</w:t>
      </w:r>
    </w:p>
    <w:p w14:paraId="2DBF2F8C" w14:textId="34D13463" w:rsidR="00AC0448" w:rsidRPr="001A49A7" w:rsidRDefault="00F475A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koszty reakcji,</w:t>
      </w:r>
    </w:p>
    <w:p w14:paraId="1D8A91C5" w14:textId="0772CCE5" w:rsidR="00AC0448" w:rsidRPr="00A16230" w:rsidRDefault="00F475A8" w:rsidP="001A49A7">
      <w:pPr>
        <w:keepLines/>
        <w:numPr>
          <w:ilvl w:val="3"/>
          <w:numId w:val="2"/>
        </w:numPr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 xml:space="preserve">wymuszone płatności </w:t>
      </w:r>
      <w:r w:rsidR="00AC0448" w:rsidRPr="001A49A7">
        <w:rPr>
          <w:rFonts w:ascii="Arial" w:eastAsia="Arial Narrow" w:hAnsi="Arial" w:cs="Arial"/>
          <w:bCs/>
          <w:color w:val="000000"/>
          <w:lang w:eastAsia="pl-PL"/>
        </w:rPr>
        <w:t xml:space="preserve">oraz koszty </w:t>
      </w:r>
      <w:proofErr w:type="spellStart"/>
      <w:r w:rsidR="00AC0448" w:rsidRPr="001A49A7">
        <w:rPr>
          <w:rFonts w:ascii="Arial" w:eastAsia="Arial Narrow" w:hAnsi="Arial" w:cs="Arial"/>
          <w:bCs/>
          <w:color w:val="000000"/>
          <w:lang w:eastAsia="pl-PL"/>
        </w:rPr>
        <w:t>cyber</w:t>
      </w:r>
      <w:proofErr w:type="spellEnd"/>
      <w:r w:rsidR="00AC0448" w:rsidRPr="001A49A7">
        <w:rPr>
          <w:rFonts w:ascii="Arial" w:eastAsia="Arial Narrow" w:hAnsi="Arial" w:cs="Arial"/>
          <w:bCs/>
          <w:color w:val="000000"/>
          <w:lang w:eastAsia="pl-PL"/>
        </w:rPr>
        <w:t xml:space="preserve"> wymuszenia.</w:t>
      </w:r>
    </w:p>
    <w:p w14:paraId="6807012A" w14:textId="77777777" w:rsidR="00AC0448" w:rsidRPr="001A49A7" w:rsidRDefault="00AC0448" w:rsidP="001A49A7">
      <w:pPr>
        <w:keepLines/>
        <w:spacing w:after="0" w:line="240" w:lineRule="auto"/>
        <w:rPr>
          <w:rFonts w:ascii="Arial" w:eastAsia="Arial Narrow" w:hAnsi="Arial" w:cs="Arial"/>
          <w:bCs/>
          <w:color w:val="000000"/>
          <w:lang w:eastAsia="pl-PL"/>
        </w:rPr>
      </w:pPr>
      <w:r w:rsidRPr="001A49A7">
        <w:rPr>
          <w:rFonts w:ascii="Arial" w:eastAsia="Arial Narrow" w:hAnsi="Arial" w:cs="Arial"/>
          <w:bCs/>
          <w:color w:val="000000"/>
          <w:lang w:eastAsia="pl-PL"/>
        </w:rPr>
        <w:t>Wszystkie wyżej wymienione, gdy wynikają z tego samego lub powiązanych faktów, okoliczności, sytuacji, transakcji lub zdarzeń lub powiązanych Naruszeń bezpieczeństwa informacji uważane są za jedną Szkodę.</w:t>
      </w:r>
    </w:p>
    <w:p w14:paraId="448CEC42" w14:textId="77777777" w:rsidR="00045D12" w:rsidRPr="001A49A7" w:rsidRDefault="00045D12" w:rsidP="001A49A7">
      <w:pPr>
        <w:rPr>
          <w:rFonts w:ascii="Arial" w:hAnsi="Arial" w:cs="Arial"/>
        </w:rPr>
      </w:pPr>
    </w:p>
    <w:sectPr w:rsidR="00045D12" w:rsidRPr="001A49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584B" w14:textId="77777777" w:rsidR="00097D98" w:rsidRDefault="00097D98" w:rsidP="00760BCA">
      <w:pPr>
        <w:spacing w:after="0" w:line="240" w:lineRule="auto"/>
      </w:pPr>
      <w:r>
        <w:separator/>
      </w:r>
    </w:p>
  </w:endnote>
  <w:endnote w:type="continuationSeparator" w:id="0">
    <w:p w14:paraId="4DE222F5" w14:textId="77777777" w:rsidR="00097D98" w:rsidRDefault="00097D98" w:rsidP="0076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-52082413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FE3C887" w14:textId="298F6DC7" w:rsidR="00760BCA" w:rsidRPr="00760BCA" w:rsidRDefault="00760BCA">
            <w:pPr>
              <w:pStyle w:val="Stopka"/>
              <w:jc w:val="right"/>
              <w:rPr>
                <w:rFonts w:ascii="Arial Narrow" w:hAnsi="Arial Narrow"/>
              </w:rPr>
            </w:pPr>
            <w:r w:rsidRPr="00760BCA">
              <w:rPr>
                <w:rFonts w:ascii="Arial Narrow" w:hAnsi="Arial Narrow"/>
              </w:rPr>
              <w:t xml:space="preserve">Strona </w:t>
            </w:r>
            <w:r w:rsidRPr="00760BC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760BCA">
              <w:rPr>
                <w:rFonts w:ascii="Arial Narrow" w:hAnsi="Arial Narrow"/>
                <w:b/>
                <w:bCs/>
              </w:rPr>
              <w:instrText>PAGE</w:instrText>
            </w:r>
            <w:r w:rsidRPr="00760BC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760BCA">
              <w:rPr>
                <w:rFonts w:ascii="Arial Narrow" w:hAnsi="Arial Narrow"/>
                <w:b/>
                <w:bCs/>
              </w:rPr>
              <w:t>2</w:t>
            </w:r>
            <w:r w:rsidRPr="00760BC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760BCA">
              <w:rPr>
                <w:rFonts w:ascii="Arial Narrow" w:hAnsi="Arial Narrow"/>
              </w:rPr>
              <w:t xml:space="preserve"> z </w:t>
            </w:r>
            <w:r w:rsidRPr="00760BC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760BCA">
              <w:rPr>
                <w:rFonts w:ascii="Arial Narrow" w:hAnsi="Arial Narrow"/>
                <w:b/>
                <w:bCs/>
              </w:rPr>
              <w:instrText>NUMPAGES</w:instrText>
            </w:r>
            <w:r w:rsidRPr="00760BC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760BCA">
              <w:rPr>
                <w:rFonts w:ascii="Arial Narrow" w:hAnsi="Arial Narrow"/>
                <w:b/>
                <w:bCs/>
              </w:rPr>
              <w:t>2</w:t>
            </w:r>
            <w:r w:rsidRPr="00760BC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68AC9" w14:textId="77777777" w:rsidR="00760BCA" w:rsidRDefault="00760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5C59F" w14:textId="77777777" w:rsidR="00097D98" w:rsidRDefault="00097D98" w:rsidP="00760BCA">
      <w:pPr>
        <w:spacing w:after="0" w:line="240" w:lineRule="auto"/>
      </w:pPr>
      <w:r>
        <w:separator/>
      </w:r>
    </w:p>
  </w:footnote>
  <w:footnote w:type="continuationSeparator" w:id="0">
    <w:p w14:paraId="1A458034" w14:textId="77777777" w:rsidR="00097D98" w:rsidRDefault="00097D98" w:rsidP="0076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0065"/>
    <w:multiLevelType w:val="hybridMultilevel"/>
    <w:tmpl w:val="5CC44336"/>
    <w:lvl w:ilvl="0" w:tplc="DB607A5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0C0E"/>
    <w:multiLevelType w:val="multilevel"/>
    <w:tmpl w:val="2780E66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628428F"/>
    <w:multiLevelType w:val="multilevel"/>
    <w:tmpl w:val="12B4DAB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  <w:u w:val="none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  <w:color w:val="auto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3" w15:restartNumberingAfterBreak="0">
    <w:nsid w:val="39775628"/>
    <w:multiLevelType w:val="multilevel"/>
    <w:tmpl w:val="667C22B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/>
        <w:color w:val="007BB8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eastAsia="Arial Narrow" w:hAnsi="Arial" w:cs="Arial" w:hint="default"/>
        <w:b/>
        <w:i w:val="0"/>
        <w:color w:val="000000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ascii="Arial" w:eastAsia="Arial Narrow" w:hAnsi="Arial" w:cs="Arial" w:hint="default"/>
        <w:b/>
        <w:bCs w:val="0"/>
        <w:i w:val="0"/>
        <w:strike w:val="0"/>
        <w:color w:val="000000"/>
      </w:rPr>
    </w:lvl>
    <w:lvl w:ilvl="3">
      <w:start w:val="1"/>
      <w:numFmt w:val="lowerLetter"/>
      <w:suff w:val="space"/>
      <w:lvlText w:val="%4)"/>
      <w:lvlJc w:val="left"/>
      <w:pPr>
        <w:ind w:left="0" w:firstLine="0"/>
      </w:pPr>
      <w:rPr>
        <w:rFonts w:ascii="Arial" w:eastAsia="Arial Narrow" w:hAnsi="Arial" w:cs="Arial" w:hint="default"/>
        <w:b w:val="0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righ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3240" w:hanging="360"/>
      </w:pPr>
      <w:rPr>
        <w:rFonts w:hint="default"/>
      </w:rPr>
    </w:lvl>
  </w:abstractNum>
  <w:num w:numId="1" w16cid:durableId="1789079084">
    <w:abstractNumId w:val="1"/>
  </w:num>
  <w:num w:numId="2" w16cid:durableId="241331570">
    <w:abstractNumId w:val="3"/>
  </w:num>
  <w:num w:numId="3" w16cid:durableId="1986083377">
    <w:abstractNumId w:val="2"/>
  </w:num>
  <w:num w:numId="4" w16cid:durableId="55065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48"/>
    <w:rsid w:val="00045D12"/>
    <w:rsid w:val="00097D98"/>
    <w:rsid w:val="00125814"/>
    <w:rsid w:val="001A49A7"/>
    <w:rsid w:val="00232749"/>
    <w:rsid w:val="00260939"/>
    <w:rsid w:val="002868D6"/>
    <w:rsid w:val="00344351"/>
    <w:rsid w:val="00362260"/>
    <w:rsid w:val="003B0C6D"/>
    <w:rsid w:val="004F3DEC"/>
    <w:rsid w:val="0056796A"/>
    <w:rsid w:val="00603000"/>
    <w:rsid w:val="00760BCA"/>
    <w:rsid w:val="00831811"/>
    <w:rsid w:val="00A16230"/>
    <w:rsid w:val="00A512F1"/>
    <w:rsid w:val="00AC0448"/>
    <w:rsid w:val="00AE6C67"/>
    <w:rsid w:val="00B015DB"/>
    <w:rsid w:val="00B17900"/>
    <w:rsid w:val="00CA09E0"/>
    <w:rsid w:val="00CC2CAB"/>
    <w:rsid w:val="00D10D81"/>
    <w:rsid w:val="00D11D40"/>
    <w:rsid w:val="00D12C29"/>
    <w:rsid w:val="00D3339C"/>
    <w:rsid w:val="00E24FFB"/>
    <w:rsid w:val="00E70A61"/>
    <w:rsid w:val="00E77AE8"/>
    <w:rsid w:val="00EA75B0"/>
    <w:rsid w:val="00EC753F"/>
    <w:rsid w:val="00ED7E61"/>
    <w:rsid w:val="00F21159"/>
    <w:rsid w:val="00F475A8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21E9"/>
  <w15:chartTrackingRefBased/>
  <w15:docId w15:val="{D91AEDB0-98E6-4FD1-AA70-1774FA74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4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448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C0448"/>
    <w:rPr>
      <w:sz w:val="16"/>
      <w:szCs w:val="16"/>
    </w:rPr>
  </w:style>
  <w:style w:type="paragraph" w:styleId="Poprawka">
    <w:name w:val="Revision"/>
    <w:hidden/>
    <w:uiPriority w:val="99"/>
    <w:semiHidden/>
    <w:rsid w:val="006030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030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00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6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BCA"/>
  </w:style>
  <w:style w:type="paragraph" w:styleId="Stopka">
    <w:name w:val="footer"/>
    <w:basedOn w:val="Normalny"/>
    <w:link w:val="StopkaZnak"/>
    <w:uiPriority w:val="99"/>
    <w:unhideWhenUsed/>
    <w:rsid w:val="0076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quatrobroker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Gałagus</dc:creator>
  <cp:keywords/>
  <dc:description/>
  <cp:lastModifiedBy>Anna Siewierska</cp:lastModifiedBy>
  <cp:revision>7</cp:revision>
  <dcterms:created xsi:type="dcterms:W3CDTF">2024-11-19T21:20:00Z</dcterms:created>
  <dcterms:modified xsi:type="dcterms:W3CDTF">2024-12-03T09:18:00Z</dcterms:modified>
</cp:coreProperties>
</file>