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EC" w:rsidRDefault="008213EC">
      <w:pPr>
        <w:pStyle w:val="Styl"/>
        <w:spacing w:line="537" w:lineRule="exact"/>
        <w:ind w:left="249" w:right="269"/>
        <w:jc w:val="center"/>
        <w:rPr>
          <w:sz w:val="23"/>
          <w:szCs w:val="23"/>
        </w:rPr>
      </w:pPr>
      <w:bookmarkStart w:id="0" w:name="_GoBack"/>
      <w:bookmarkEnd w:id="0"/>
      <w:r>
        <w:rPr>
          <w:sz w:val="27"/>
          <w:szCs w:val="27"/>
        </w:rPr>
        <w:t xml:space="preserve">Specyfikacja techniczna wykonania i odbioru robót budowlanych </w:t>
      </w:r>
      <w:r>
        <w:rPr>
          <w:b/>
          <w:bCs/>
          <w:sz w:val="23"/>
          <w:szCs w:val="23"/>
        </w:rPr>
        <w:t>ROBOTY MALARSKIE</w:t>
      </w:r>
      <w:r>
        <w:rPr>
          <w:sz w:val="23"/>
          <w:szCs w:val="23"/>
        </w:rPr>
        <w:t xml:space="preserve"> </w:t>
      </w:r>
    </w:p>
    <w:p w:rsidR="008213EC" w:rsidRDefault="008213EC">
      <w:pPr>
        <w:pStyle w:val="Styl"/>
        <w:spacing w:line="537" w:lineRule="exact"/>
        <w:ind w:left="249" w:right="269"/>
        <w:jc w:val="center"/>
        <w:rPr>
          <w:sz w:val="23"/>
          <w:szCs w:val="23"/>
        </w:rPr>
      </w:pPr>
    </w:p>
    <w:p w:rsidR="008213EC" w:rsidRDefault="008213EC">
      <w:pPr>
        <w:pStyle w:val="Styl"/>
        <w:spacing w:line="537" w:lineRule="exact"/>
        <w:ind w:left="249" w:right="269"/>
        <w:rPr>
          <w:b/>
          <w:bCs/>
          <w:sz w:val="21"/>
          <w:szCs w:val="21"/>
        </w:rPr>
      </w:pPr>
      <w:r>
        <w:rPr>
          <w:b/>
          <w:bCs/>
          <w:sz w:val="23"/>
          <w:szCs w:val="23"/>
        </w:rPr>
        <w:t xml:space="preserve">                 </w:t>
      </w:r>
      <w:r>
        <w:rPr>
          <w:b/>
          <w:bCs/>
          <w:sz w:val="21"/>
          <w:szCs w:val="21"/>
        </w:rPr>
        <w:t xml:space="preserve">SZCZEGÓŁOWE SPECYFIKACJE TECHNICZNE </w:t>
      </w:r>
    </w:p>
    <w:p w:rsidR="008213EC" w:rsidRDefault="008213EC">
      <w:pPr>
        <w:pStyle w:val="Styl"/>
        <w:spacing w:before="268" w:line="254" w:lineRule="exact"/>
        <w:ind w:left="9" w:right="5856"/>
        <w:rPr>
          <w:sz w:val="21"/>
          <w:szCs w:val="21"/>
        </w:rPr>
      </w:pPr>
      <w:r>
        <w:rPr>
          <w:b/>
          <w:bCs/>
          <w:sz w:val="21"/>
          <w:szCs w:val="21"/>
        </w:rPr>
        <w:t>SST5   ROBOTY MALARSKIE</w:t>
      </w:r>
      <w:r>
        <w:rPr>
          <w:sz w:val="21"/>
          <w:szCs w:val="21"/>
        </w:rPr>
        <w:t xml:space="preserve">   Malowanie tynków,</w:t>
      </w:r>
    </w:p>
    <w:p w:rsidR="008213EC" w:rsidRDefault="008213EC">
      <w:pPr>
        <w:pStyle w:val="Styl"/>
        <w:spacing w:before="268" w:line="254" w:lineRule="exact"/>
        <w:ind w:right="5856"/>
        <w:rPr>
          <w:sz w:val="21"/>
          <w:szCs w:val="21"/>
        </w:rPr>
      </w:pPr>
    </w:p>
    <w:p w:rsidR="008213EC" w:rsidRDefault="008213EC">
      <w:pPr>
        <w:pStyle w:val="Styl"/>
        <w:spacing w:line="230" w:lineRule="exact"/>
        <w:ind w:left="4"/>
        <w:rPr>
          <w:i/>
          <w:iCs/>
          <w:sz w:val="21"/>
          <w:szCs w:val="21"/>
          <w:u w:val="single"/>
        </w:rPr>
      </w:pPr>
      <w:r>
        <w:rPr>
          <w:i/>
          <w:iCs/>
          <w:sz w:val="21"/>
          <w:szCs w:val="21"/>
          <w:u w:val="single"/>
        </w:rPr>
        <w:t xml:space="preserve">Spis treści </w:t>
      </w:r>
    </w:p>
    <w:p w:rsidR="008213EC" w:rsidRDefault="008213EC">
      <w:pPr>
        <w:pStyle w:val="Styl"/>
        <w:spacing w:line="230" w:lineRule="exact"/>
        <w:ind w:left="4"/>
        <w:rPr>
          <w:i/>
          <w:iCs/>
          <w:sz w:val="21"/>
          <w:szCs w:val="21"/>
          <w:u w:val="single"/>
        </w:rPr>
      </w:pPr>
    </w:p>
    <w:p w:rsidR="008213EC" w:rsidRDefault="008213EC">
      <w:pPr>
        <w:pStyle w:val="Styl"/>
        <w:spacing w:line="254" w:lineRule="exact"/>
        <w:ind w:left="19"/>
        <w:rPr>
          <w:sz w:val="21"/>
          <w:szCs w:val="21"/>
        </w:rPr>
      </w:pPr>
      <w:r>
        <w:rPr>
          <w:sz w:val="22"/>
          <w:szCs w:val="22"/>
        </w:rPr>
        <w:t xml:space="preserve">1 </w:t>
      </w:r>
      <w:r>
        <w:rPr>
          <w:sz w:val="21"/>
          <w:szCs w:val="21"/>
        </w:rPr>
        <w:t>Wstęp .</w:t>
      </w:r>
    </w:p>
    <w:p w:rsidR="008213EC" w:rsidRDefault="008213EC">
      <w:pPr>
        <w:pStyle w:val="Styl"/>
        <w:tabs>
          <w:tab w:val="left" w:leader="dot" w:pos="8909"/>
        </w:tabs>
        <w:spacing w:line="249" w:lineRule="exact"/>
        <w:rPr>
          <w:sz w:val="21"/>
          <w:szCs w:val="21"/>
        </w:rPr>
      </w:pPr>
      <w:r>
        <w:rPr>
          <w:sz w:val="21"/>
          <w:szCs w:val="21"/>
        </w:rPr>
        <w:t xml:space="preserve">1.1 PRZEDMIOT SST  </w:t>
      </w:r>
    </w:p>
    <w:p w:rsidR="008213EC" w:rsidRDefault="008213EC">
      <w:pPr>
        <w:pStyle w:val="Styl"/>
        <w:tabs>
          <w:tab w:val="left" w:leader="dot" w:pos="8875"/>
        </w:tabs>
        <w:spacing w:line="254" w:lineRule="exact"/>
        <w:rPr>
          <w:sz w:val="21"/>
          <w:szCs w:val="21"/>
        </w:rPr>
      </w:pPr>
      <w:r>
        <w:rPr>
          <w:sz w:val="21"/>
          <w:szCs w:val="21"/>
        </w:rPr>
        <w:t>1.2 ZAKRES STOSOWANIA SST.</w:t>
      </w:r>
    </w:p>
    <w:p w:rsidR="008213EC" w:rsidRDefault="008213EC">
      <w:pPr>
        <w:pStyle w:val="Styl"/>
        <w:tabs>
          <w:tab w:val="left" w:leader="dot" w:pos="8865"/>
        </w:tabs>
        <w:spacing w:line="254" w:lineRule="exact"/>
        <w:rPr>
          <w:sz w:val="21"/>
          <w:szCs w:val="21"/>
        </w:rPr>
      </w:pPr>
      <w:r>
        <w:rPr>
          <w:sz w:val="21"/>
          <w:szCs w:val="21"/>
        </w:rPr>
        <w:t xml:space="preserve">1.3 ZAKRES ROBÓT OBJĘTYCH W SST  </w:t>
      </w:r>
    </w:p>
    <w:p w:rsidR="008213EC" w:rsidRDefault="008213EC">
      <w:pPr>
        <w:pStyle w:val="Styl"/>
        <w:tabs>
          <w:tab w:val="left" w:leader="dot" w:pos="8822"/>
        </w:tabs>
        <w:spacing w:line="254" w:lineRule="exact"/>
        <w:rPr>
          <w:sz w:val="21"/>
          <w:szCs w:val="21"/>
        </w:rPr>
      </w:pPr>
      <w:r>
        <w:rPr>
          <w:sz w:val="21"/>
          <w:szCs w:val="21"/>
        </w:rPr>
        <w:t xml:space="preserve">1.4 OKREŚLENIA PODSTAWOWE. </w:t>
      </w:r>
    </w:p>
    <w:p w:rsidR="008213EC" w:rsidRDefault="008213EC">
      <w:pPr>
        <w:pStyle w:val="Styl"/>
        <w:tabs>
          <w:tab w:val="left" w:leader="dot" w:pos="8909"/>
        </w:tabs>
        <w:spacing w:line="254" w:lineRule="exact"/>
        <w:rPr>
          <w:sz w:val="21"/>
          <w:szCs w:val="21"/>
        </w:rPr>
      </w:pPr>
      <w:r>
        <w:rPr>
          <w:sz w:val="21"/>
          <w:szCs w:val="21"/>
        </w:rPr>
        <w:t xml:space="preserve">1.5 OGÓLNE WYMAGANIA DOTYCZĄCE ROBÓT  </w:t>
      </w:r>
    </w:p>
    <w:p w:rsidR="008213EC" w:rsidRDefault="008213EC">
      <w:pPr>
        <w:pStyle w:val="Styl"/>
        <w:tabs>
          <w:tab w:val="left" w:leader="dot" w:pos="8827"/>
        </w:tabs>
        <w:spacing w:line="254" w:lineRule="exact"/>
        <w:rPr>
          <w:sz w:val="21"/>
          <w:szCs w:val="21"/>
        </w:rPr>
      </w:pPr>
      <w:r>
        <w:rPr>
          <w:sz w:val="21"/>
          <w:szCs w:val="21"/>
        </w:rPr>
        <w:t xml:space="preserve">2 Materiały  </w:t>
      </w:r>
    </w:p>
    <w:p w:rsidR="008213EC" w:rsidRDefault="008213EC">
      <w:pPr>
        <w:pStyle w:val="Styl"/>
        <w:tabs>
          <w:tab w:val="left" w:leader="dot" w:pos="8856"/>
        </w:tabs>
        <w:spacing w:line="254" w:lineRule="exact"/>
        <w:rPr>
          <w:sz w:val="21"/>
          <w:szCs w:val="21"/>
        </w:rPr>
      </w:pPr>
      <w:r>
        <w:rPr>
          <w:sz w:val="21"/>
          <w:szCs w:val="21"/>
        </w:rPr>
        <w:t xml:space="preserve">3 Wykonanie robót  </w:t>
      </w:r>
    </w:p>
    <w:p w:rsidR="008213EC" w:rsidRDefault="008213EC">
      <w:pPr>
        <w:pStyle w:val="Styl"/>
        <w:tabs>
          <w:tab w:val="left" w:leader="dot" w:pos="8885"/>
        </w:tabs>
        <w:spacing w:line="259" w:lineRule="exact"/>
        <w:rPr>
          <w:sz w:val="21"/>
          <w:szCs w:val="21"/>
        </w:rPr>
      </w:pPr>
      <w:r>
        <w:rPr>
          <w:sz w:val="21"/>
          <w:szCs w:val="21"/>
        </w:rPr>
        <w:t xml:space="preserve">4 Kontrola jakości. </w:t>
      </w:r>
    </w:p>
    <w:p w:rsidR="008213EC" w:rsidRDefault="008213EC">
      <w:pPr>
        <w:pStyle w:val="Styl"/>
        <w:tabs>
          <w:tab w:val="left" w:leader="dot" w:pos="8865"/>
        </w:tabs>
        <w:spacing w:line="249" w:lineRule="exact"/>
        <w:rPr>
          <w:sz w:val="21"/>
          <w:szCs w:val="21"/>
        </w:rPr>
      </w:pPr>
      <w:r>
        <w:rPr>
          <w:sz w:val="21"/>
          <w:szCs w:val="21"/>
        </w:rPr>
        <w:t xml:space="preserve">5 Obmiar robót  </w:t>
      </w:r>
    </w:p>
    <w:p w:rsidR="008213EC" w:rsidRDefault="008213EC">
      <w:pPr>
        <w:pStyle w:val="Styl"/>
        <w:tabs>
          <w:tab w:val="left" w:leader="dot" w:pos="8861"/>
        </w:tabs>
        <w:spacing w:line="254" w:lineRule="exact"/>
        <w:rPr>
          <w:sz w:val="21"/>
          <w:szCs w:val="21"/>
        </w:rPr>
      </w:pPr>
      <w:r>
        <w:rPr>
          <w:sz w:val="21"/>
          <w:szCs w:val="21"/>
        </w:rPr>
        <w:t xml:space="preserve">6 Odbiór robót </w:t>
      </w:r>
    </w:p>
    <w:p w:rsidR="008213EC" w:rsidRDefault="008213EC">
      <w:pPr>
        <w:pStyle w:val="Styl"/>
        <w:spacing w:before="542" w:line="235" w:lineRule="exact"/>
        <w:rPr>
          <w:b/>
          <w:bCs/>
          <w:sz w:val="21"/>
          <w:szCs w:val="21"/>
          <w:u w:val="single"/>
        </w:rPr>
      </w:pPr>
      <w:r>
        <w:rPr>
          <w:b/>
          <w:bCs/>
          <w:sz w:val="21"/>
          <w:szCs w:val="21"/>
          <w:u w:val="single"/>
        </w:rPr>
        <w:t xml:space="preserve">Wstęp </w:t>
      </w:r>
    </w:p>
    <w:p w:rsidR="008213EC" w:rsidRDefault="008213EC">
      <w:pPr>
        <w:pStyle w:val="Styl"/>
        <w:spacing w:before="542" w:line="235" w:lineRule="exact"/>
        <w:rPr>
          <w:b/>
          <w:bCs/>
          <w:sz w:val="21"/>
          <w:szCs w:val="21"/>
          <w:u w:val="single"/>
        </w:rPr>
      </w:pPr>
    </w:p>
    <w:p w:rsidR="008213EC" w:rsidRDefault="008213EC">
      <w:pPr>
        <w:pStyle w:val="Styl"/>
        <w:spacing w:line="235" w:lineRule="exact"/>
        <w:ind w:left="14"/>
        <w:rPr>
          <w:sz w:val="21"/>
          <w:szCs w:val="21"/>
        </w:rPr>
      </w:pPr>
      <w:r>
        <w:rPr>
          <w:sz w:val="21"/>
          <w:szCs w:val="21"/>
        </w:rPr>
        <w:t xml:space="preserve">1.1 </w:t>
      </w:r>
      <w:r>
        <w:rPr>
          <w:b/>
          <w:bCs/>
          <w:i/>
          <w:iCs/>
          <w:sz w:val="21"/>
          <w:szCs w:val="21"/>
        </w:rPr>
        <w:t>Przedmiot SST</w:t>
      </w:r>
      <w:r>
        <w:rPr>
          <w:sz w:val="21"/>
          <w:szCs w:val="21"/>
        </w:rPr>
        <w:t xml:space="preserve"> </w:t>
      </w:r>
    </w:p>
    <w:p w:rsidR="008213EC" w:rsidRDefault="008213EC">
      <w:pPr>
        <w:pStyle w:val="Styl"/>
        <w:spacing w:line="254" w:lineRule="exact"/>
        <w:ind w:left="9" w:right="105"/>
        <w:rPr>
          <w:sz w:val="21"/>
          <w:szCs w:val="21"/>
        </w:rPr>
      </w:pPr>
      <w:r>
        <w:rPr>
          <w:sz w:val="21"/>
          <w:szCs w:val="21"/>
        </w:rPr>
        <w:t xml:space="preserve">Przedmiotem niniejszej szczegółowej specyfikacji technicznej są wymagania dotyczące wykonania i odbioru robót malarskich. </w:t>
      </w:r>
    </w:p>
    <w:p w:rsidR="008213EC" w:rsidRDefault="008213EC">
      <w:pPr>
        <w:pStyle w:val="Styl"/>
        <w:spacing w:line="235" w:lineRule="exact"/>
        <w:ind w:left="14"/>
        <w:rPr>
          <w:sz w:val="21"/>
          <w:szCs w:val="21"/>
        </w:rPr>
      </w:pPr>
      <w:r>
        <w:rPr>
          <w:sz w:val="21"/>
          <w:szCs w:val="21"/>
        </w:rPr>
        <w:t xml:space="preserve">1.2 </w:t>
      </w:r>
      <w:r>
        <w:rPr>
          <w:b/>
          <w:bCs/>
          <w:i/>
          <w:iCs/>
          <w:sz w:val="21"/>
          <w:szCs w:val="21"/>
        </w:rPr>
        <w:t>Zakres stosowania SST</w:t>
      </w:r>
      <w:r>
        <w:rPr>
          <w:sz w:val="21"/>
          <w:szCs w:val="21"/>
        </w:rPr>
        <w:t xml:space="preserve"> </w:t>
      </w:r>
    </w:p>
    <w:p w:rsidR="008213EC" w:rsidRDefault="008213EC">
      <w:pPr>
        <w:pStyle w:val="Styl"/>
        <w:spacing w:line="254" w:lineRule="exact"/>
        <w:ind w:right="163"/>
        <w:rPr>
          <w:sz w:val="21"/>
          <w:szCs w:val="21"/>
        </w:rPr>
      </w:pPr>
      <w:r>
        <w:rPr>
          <w:sz w:val="21"/>
          <w:szCs w:val="21"/>
        </w:rPr>
        <w:t xml:space="preserve">Szczegółowa specyfikacja techniczna jest stosowana jako dokument przetargowy przy zleceniu i realizacji robót wymienionych w pkt. 1.1. </w:t>
      </w:r>
    </w:p>
    <w:p w:rsidR="008213EC" w:rsidRDefault="008213EC">
      <w:pPr>
        <w:pStyle w:val="Styl"/>
        <w:spacing w:line="235" w:lineRule="exact"/>
        <w:ind w:left="14"/>
        <w:rPr>
          <w:sz w:val="21"/>
          <w:szCs w:val="21"/>
        </w:rPr>
      </w:pPr>
      <w:r>
        <w:rPr>
          <w:sz w:val="21"/>
          <w:szCs w:val="21"/>
        </w:rPr>
        <w:t xml:space="preserve">1.3 </w:t>
      </w:r>
      <w:r>
        <w:rPr>
          <w:b/>
          <w:bCs/>
          <w:i/>
          <w:iCs/>
          <w:sz w:val="21"/>
          <w:szCs w:val="21"/>
        </w:rPr>
        <w:t>Zakres robót objętych w SST</w:t>
      </w:r>
      <w:r>
        <w:rPr>
          <w:sz w:val="21"/>
          <w:szCs w:val="21"/>
        </w:rPr>
        <w:t xml:space="preserve"> </w:t>
      </w:r>
    </w:p>
    <w:p w:rsidR="008213EC" w:rsidRDefault="008213EC">
      <w:pPr>
        <w:pStyle w:val="Styl"/>
        <w:spacing w:line="254" w:lineRule="exact"/>
        <w:ind w:left="14" w:right="480"/>
        <w:rPr>
          <w:sz w:val="21"/>
          <w:szCs w:val="21"/>
        </w:rPr>
      </w:pPr>
      <w:r>
        <w:rPr>
          <w:sz w:val="21"/>
          <w:szCs w:val="21"/>
        </w:rPr>
        <w:t xml:space="preserve">Roboty, których dotyczy specyfikacja obejmują wszystkie czynności umożliwiające i mające na celu wykonanie robót malarskich obiektu wg poniższego: </w:t>
      </w:r>
    </w:p>
    <w:p w:rsidR="008213EC" w:rsidRDefault="008213EC">
      <w:pPr>
        <w:pStyle w:val="Styl"/>
        <w:spacing w:line="235" w:lineRule="exact"/>
        <w:ind w:left="14"/>
        <w:rPr>
          <w:sz w:val="21"/>
          <w:szCs w:val="21"/>
        </w:rPr>
      </w:pPr>
      <w:r>
        <w:rPr>
          <w:sz w:val="21"/>
          <w:szCs w:val="21"/>
        </w:rPr>
        <w:t xml:space="preserve">- malowanie konstrukcji stalowych </w:t>
      </w:r>
    </w:p>
    <w:p w:rsidR="008213EC" w:rsidRDefault="008213EC">
      <w:pPr>
        <w:pStyle w:val="Styl"/>
        <w:spacing w:line="235" w:lineRule="exact"/>
        <w:ind w:left="14"/>
        <w:rPr>
          <w:sz w:val="21"/>
          <w:szCs w:val="21"/>
        </w:rPr>
      </w:pPr>
      <w:r>
        <w:rPr>
          <w:sz w:val="21"/>
          <w:szCs w:val="21"/>
        </w:rPr>
        <w:t xml:space="preserve">- malowanie tynków </w:t>
      </w:r>
    </w:p>
    <w:p w:rsidR="008213EC" w:rsidRDefault="008213EC">
      <w:pPr>
        <w:pStyle w:val="Styl"/>
        <w:spacing w:line="235" w:lineRule="exact"/>
        <w:ind w:left="14"/>
        <w:rPr>
          <w:sz w:val="21"/>
          <w:szCs w:val="21"/>
        </w:rPr>
      </w:pPr>
      <w:r>
        <w:rPr>
          <w:sz w:val="21"/>
          <w:szCs w:val="21"/>
        </w:rPr>
        <w:t xml:space="preserve">1.4 </w:t>
      </w:r>
      <w:r>
        <w:rPr>
          <w:b/>
          <w:bCs/>
          <w:i/>
          <w:iCs/>
          <w:sz w:val="21"/>
          <w:szCs w:val="21"/>
        </w:rPr>
        <w:t>Określenia podstawowe</w:t>
      </w:r>
      <w:r>
        <w:rPr>
          <w:sz w:val="21"/>
          <w:szCs w:val="21"/>
        </w:rPr>
        <w:t xml:space="preserve"> </w:t>
      </w:r>
    </w:p>
    <w:p w:rsidR="008213EC" w:rsidRDefault="008213EC">
      <w:pPr>
        <w:pStyle w:val="Styl"/>
        <w:spacing w:before="4" w:line="254" w:lineRule="exact"/>
        <w:ind w:left="19" w:right="691"/>
        <w:rPr>
          <w:sz w:val="21"/>
          <w:szCs w:val="21"/>
        </w:rPr>
      </w:pPr>
      <w:r>
        <w:rPr>
          <w:sz w:val="21"/>
          <w:szCs w:val="21"/>
        </w:rPr>
        <w:t xml:space="preserve">Określenia podane w niniejszym SST są zgodne z obowiązującymi odpowiednimi normami oraz określeniami podanymi w ST wymagania ogólne. </w:t>
      </w:r>
    </w:p>
    <w:p w:rsidR="008213EC" w:rsidRDefault="008213EC">
      <w:pPr>
        <w:pStyle w:val="Styl"/>
        <w:spacing w:line="235" w:lineRule="exact"/>
        <w:ind w:left="14"/>
        <w:rPr>
          <w:sz w:val="21"/>
          <w:szCs w:val="21"/>
        </w:rPr>
      </w:pPr>
      <w:r>
        <w:rPr>
          <w:sz w:val="21"/>
          <w:szCs w:val="21"/>
        </w:rPr>
        <w:t xml:space="preserve">1.5 </w:t>
      </w:r>
      <w:r>
        <w:rPr>
          <w:b/>
          <w:bCs/>
          <w:i/>
          <w:iCs/>
          <w:sz w:val="21"/>
          <w:szCs w:val="21"/>
        </w:rPr>
        <w:t>Ogólne wymagania dotyczące robót</w:t>
      </w:r>
      <w:r>
        <w:rPr>
          <w:sz w:val="21"/>
          <w:szCs w:val="21"/>
        </w:rPr>
        <w:t xml:space="preserve"> </w:t>
      </w:r>
    </w:p>
    <w:p w:rsidR="008213EC" w:rsidRDefault="008213EC">
      <w:pPr>
        <w:pStyle w:val="Styl"/>
        <w:spacing w:line="235" w:lineRule="exact"/>
        <w:ind w:left="14"/>
        <w:rPr>
          <w:sz w:val="21"/>
          <w:szCs w:val="21"/>
        </w:rPr>
      </w:pPr>
      <w:r>
        <w:rPr>
          <w:sz w:val="21"/>
          <w:szCs w:val="21"/>
        </w:rPr>
        <w:t xml:space="preserve">Wykonawca robót jest odpowiedzialny za jakość ich wykonania oraz za zgodność z dokumentacją projektową, SST i poleceniami Inspektora. Ogólne wymagania dotyczące robót podano w SST "Wymagania ogólne". </w:t>
      </w:r>
    </w:p>
    <w:p w:rsidR="008213EC" w:rsidRDefault="008213EC">
      <w:pPr>
        <w:pStyle w:val="Styl"/>
        <w:spacing w:line="235" w:lineRule="exact"/>
        <w:ind w:left="14"/>
        <w:rPr>
          <w:sz w:val="21"/>
          <w:szCs w:val="21"/>
        </w:rPr>
      </w:pPr>
    </w:p>
    <w:p w:rsidR="008213EC" w:rsidRDefault="008213EC">
      <w:pPr>
        <w:pStyle w:val="Styl"/>
        <w:spacing w:line="235" w:lineRule="exact"/>
        <w:ind w:left="14"/>
        <w:rPr>
          <w:sz w:val="21"/>
          <w:szCs w:val="21"/>
        </w:rPr>
      </w:pPr>
    </w:p>
    <w:p w:rsidR="008213EC" w:rsidRDefault="008213EC">
      <w:pPr>
        <w:pStyle w:val="Styl"/>
        <w:numPr>
          <w:ilvl w:val="0"/>
          <w:numId w:val="1"/>
        </w:numPr>
        <w:spacing w:line="235" w:lineRule="exact"/>
        <w:rPr>
          <w:b/>
          <w:bCs/>
          <w:sz w:val="21"/>
          <w:szCs w:val="21"/>
          <w:u w:val="single"/>
        </w:rPr>
      </w:pPr>
      <w:r>
        <w:rPr>
          <w:b/>
          <w:bCs/>
          <w:sz w:val="21"/>
          <w:szCs w:val="21"/>
          <w:u w:val="single"/>
        </w:rPr>
        <w:t xml:space="preserve">Materiały </w:t>
      </w:r>
    </w:p>
    <w:p w:rsidR="008213EC" w:rsidRDefault="008213EC">
      <w:pPr>
        <w:pStyle w:val="Styl"/>
        <w:spacing w:line="235" w:lineRule="exact"/>
        <w:ind w:left="14"/>
        <w:rPr>
          <w:b/>
          <w:bCs/>
          <w:sz w:val="21"/>
          <w:szCs w:val="21"/>
          <w:u w:val="single"/>
        </w:rPr>
      </w:pPr>
    </w:p>
    <w:p w:rsidR="008213EC" w:rsidRDefault="008213EC">
      <w:pPr>
        <w:pStyle w:val="Styl"/>
        <w:spacing w:line="235" w:lineRule="exact"/>
        <w:ind w:left="14"/>
        <w:rPr>
          <w:sz w:val="21"/>
          <w:szCs w:val="21"/>
        </w:rPr>
      </w:pPr>
      <w:r>
        <w:rPr>
          <w:sz w:val="21"/>
          <w:szCs w:val="21"/>
        </w:rPr>
        <w:t xml:space="preserve">2.1 </w:t>
      </w:r>
      <w:r>
        <w:rPr>
          <w:b/>
          <w:bCs/>
          <w:sz w:val="21"/>
          <w:szCs w:val="21"/>
          <w:u w:val="single"/>
        </w:rPr>
        <w:t xml:space="preserve">Woda </w:t>
      </w:r>
      <w:r>
        <w:rPr>
          <w:sz w:val="21"/>
          <w:szCs w:val="21"/>
        </w:rPr>
        <w:t xml:space="preserve">PN-75/C-04630 [1] </w:t>
      </w:r>
    </w:p>
    <w:p w:rsidR="008213EC" w:rsidRDefault="008213EC">
      <w:pPr>
        <w:pStyle w:val="Styl"/>
        <w:spacing w:line="235" w:lineRule="exact"/>
        <w:ind w:left="14"/>
        <w:rPr>
          <w:sz w:val="21"/>
          <w:szCs w:val="21"/>
        </w:rPr>
      </w:pPr>
      <w:r>
        <w:rPr>
          <w:sz w:val="21"/>
          <w:szCs w:val="21"/>
        </w:rPr>
        <w:t xml:space="preserve">Do przygotowania farb stosować można każdą wodę zdatną do picia. Niedozwolone jest użycie wód ściekowych, kanalizacyjnych, bagiennych, oraz wód zawierające tłuszcze organiczne, oleje i muł. </w:t>
      </w:r>
    </w:p>
    <w:p w:rsidR="008213EC" w:rsidRDefault="008213EC">
      <w:pPr>
        <w:pStyle w:val="Styl"/>
        <w:spacing w:line="235" w:lineRule="exact"/>
        <w:rPr>
          <w:sz w:val="21"/>
          <w:szCs w:val="21"/>
        </w:rPr>
      </w:pPr>
    </w:p>
    <w:p w:rsidR="008213EC" w:rsidRDefault="008213EC">
      <w:pPr>
        <w:pStyle w:val="Styl"/>
        <w:spacing w:line="235" w:lineRule="exact"/>
        <w:ind w:left="14"/>
        <w:rPr>
          <w:sz w:val="21"/>
          <w:szCs w:val="21"/>
        </w:rPr>
      </w:pPr>
      <w:r>
        <w:rPr>
          <w:sz w:val="21"/>
          <w:szCs w:val="21"/>
        </w:rPr>
        <w:t xml:space="preserve">2.3 </w:t>
      </w:r>
      <w:r>
        <w:rPr>
          <w:b/>
          <w:bCs/>
          <w:i/>
          <w:iCs/>
          <w:sz w:val="21"/>
          <w:szCs w:val="21"/>
        </w:rPr>
        <w:t>Farby budowlane gotowe</w:t>
      </w:r>
      <w:r>
        <w:rPr>
          <w:sz w:val="21"/>
          <w:szCs w:val="21"/>
        </w:rPr>
        <w:t xml:space="preserve"> </w:t>
      </w:r>
    </w:p>
    <w:p w:rsidR="008213EC" w:rsidRDefault="008213EC">
      <w:pPr>
        <w:pStyle w:val="Styl"/>
        <w:spacing w:before="4" w:line="249" w:lineRule="exact"/>
        <w:ind w:left="19" w:right="873"/>
        <w:rPr>
          <w:sz w:val="21"/>
          <w:szCs w:val="21"/>
        </w:rPr>
      </w:pPr>
      <w:r>
        <w:rPr>
          <w:sz w:val="21"/>
          <w:szCs w:val="21"/>
        </w:rPr>
        <w:t xml:space="preserve">2.3.1 Farby niezależnie od ich rodzaju powinny odpowiadać wymaganiom norm państwowych </w:t>
      </w:r>
    </w:p>
    <w:p w:rsidR="008213EC" w:rsidRDefault="008213EC">
      <w:pPr>
        <w:pStyle w:val="Styl"/>
        <w:spacing w:line="254" w:lineRule="exact"/>
        <w:ind w:left="19" w:right="2721"/>
        <w:rPr>
          <w:sz w:val="21"/>
          <w:szCs w:val="21"/>
        </w:rPr>
      </w:pPr>
      <w:r>
        <w:rPr>
          <w:sz w:val="21"/>
          <w:szCs w:val="21"/>
        </w:rPr>
        <w:t xml:space="preserve">lub świadectw dopuszczenia do stosowania w budownictwie. 2.3.2 </w:t>
      </w:r>
      <w:r>
        <w:rPr>
          <w:b/>
          <w:bCs/>
          <w:sz w:val="21"/>
          <w:szCs w:val="21"/>
        </w:rPr>
        <w:t>Farby emulsyjne wytwarzane fabrycznie</w:t>
      </w:r>
      <w:r>
        <w:rPr>
          <w:sz w:val="21"/>
          <w:szCs w:val="21"/>
        </w:rPr>
        <w:t xml:space="preserve"> </w:t>
      </w:r>
    </w:p>
    <w:p w:rsidR="008213EC" w:rsidRDefault="008213EC">
      <w:pPr>
        <w:pStyle w:val="Styl"/>
        <w:spacing w:line="254" w:lineRule="exact"/>
        <w:ind w:left="9" w:right="105"/>
        <w:rPr>
          <w:sz w:val="21"/>
          <w:szCs w:val="21"/>
        </w:rPr>
      </w:pPr>
      <w:r>
        <w:rPr>
          <w:sz w:val="21"/>
          <w:szCs w:val="21"/>
        </w:rPr>
        <w:lastRenderedPageBreak/>
        <w:t xml:space="preserve">Na tynkach można stosować farby emulsyjne na spoiwach z: polioctanu winylu, lateksu </w:t>
      </w:r>
      <w:proofErr w:type="spellStart"/>
      <w:r>
        <w:rPr>
          <w:sz w:val="21"/>
          <w:szCs w:val="21"/>
        </w:rPr>
        <w:t>butadieno</w:t>
      </w:r>
      <w:proofErr w:type="spellEnd"/>
      <w:r>
        <w:rPr>
          <w:sz w:val="21"/>
          <w:szCs w:val="21"/>
        </w:rPr>
        <w:t xml:space="preserve">-styrenowego i innych zgodnie z zasadami podanymi w normach </w:t>
      </w:r>
      <w:r>
        <w:rPr>
          <w:w w:val="122"/>
          <w:sz w:val="21"/>
          <w:szCs w:val="21"/>
        </w:rPr>
        <w:t xml:space="preserve">i </w:t>
      </w:r>
      <w:r>
        <w:rPr>
          <w:sz w:val="21"/>
          <w:szCs w:val="21"/>
        </w:rPr>
        <w:t>świadectwach ich dopuszczenia do ITB</w:t>
      </w:r>
    </w:p>
    <w:p w:rsidR="008213EC" w:rsidRDefault="008213EC">
      <w:pPr>
        <w:pStyle w:val="Styl"/>
        <w:spacing w:line="259" w:lineRule="exact"/>
        <w:ind w:left="14" w:right="9"/>
        <w:rPr>
          <w:b/>
          <w:bCs/>
          <w:sz w:val="21"/>
          <w:szCs w:val="21"/>
        </w:rPr>
      </w:pPr>
    </w:p>
    <w:p w:rsidR="008213EC" w:rsidRDefault="008213EC">
      <w:pPr>
        <w:pStyle w:val="Styl"/>
        <w:spacing w:line="259" w:lineRule="exact"/>
        <w:ind w:left="14" w:right="9"/>
        <w:rPr>
          <w:sz w:val="21"/>
          <w:szCs w:val="21"/>
        </w:rPr>
      </w:pPr>
      <w:r>
        <w:rPr>
          <w:sz w:val="21"/>
          <w:szCs w:val="21"/>
        </w:rPr>
        <w:t xml:space="preserve">2.4 </w:t>
      </w:r>
      <w:r>
        <w:rPr>
          <w:b/>
          <w:bCs/>
          <w:i/>
          <w:iCs/>
          <w:sz w:val="21"/>
          <w:szCs w:val="21"/>
        </w:rPr>
        <w:t>Środki gruntujące</w:t>
      </w:r>
      <w:r>
        <w:rPr>
          <w:sz w:val="21"/>
          <w:szCs w:val="21"/>
        </w:rPr>
        <w:t xml:space="preserve"> </w:t>
      </w:r>
    </w:p>
    <w:p w:rsidR="008213EC" w:rsidRDefault="008213EC">
      <w:pPr>
        <w:pStyle w:val="Styl"/>
        <w:spacing w:line="259" w:lineRule="exact"/>
        <w:ind w:left="14" w:right="9"/>
        <w:rPr>
          <w:sz w:val="21"/>
          <w:szCs w:val="21"/>
        </w:rPr>
      </w:pPr>
      <w:r>
        <w:rPr>
          <w:sz w:val="21"/>
          <w:szCs w:val="21"/>
        </w:rPr>
        <w:t xml:space="preserve">2.4.1 przy malowaniu farbami emulsyjnymi: </w:t>
      </w:r>
    </w:p>
    <w:p w:rsidR="008213EC" w:rsidRDefault="008213EC">
      <w:pPr>
        <w:pStyle w:val="Styl"/>
        <w:spacing w:before="4" w:line="249" w:lineRule="exact"/>
        <w:ind w:left="4" w:right="1219"/>
        <w:rPr>
          <w:sz w:val="21"/>
          <w:szCs w:val="21"/>
        </w:rPr>
      </w:pPr>
      <w:r>
        <w:rPr>
          <w:sz w:val="21"/>
          <w:szCs w:val="21"/>
        </w:rPr>
        <w:t xml:space="preserve">- powierzchni betonowych lub tynków zwykłych nie zaleca się gruntowania, o ile świadectwo dopuszczenia nowego rodzaju farby emulsyjnej nie podaje inaczej - na chłodnych podłożach należy stosować do gruntowania farbę emulsyjną rozcieńczoną wodą w stosunku 1:3 - 5 z tego samego rodzaju farby z jakiej przewiduje się wykonanie powłoki malarskiej </w:t>
      </w:r>
    </w:p>
    <w:p w:rsidR="008213EC" w:rsidRDefault="008213EC">
      <w:pPr>
        <w:pStyle w:val="Styl"/>
        <w:spacing w:line="259" w:lineRule="exact"/>
        <w:ind w:left="14" w:right="9"/>
        <w:rPr>
          <w:sz w:val="21"/>
          <w:szCs w:val="21"/>
        </w:rPr>
      </w:pPr>
    </w:p>
    <w:p w:rsidR="008213EC" w:rsidRDefault="008213EC">
      <w:pPr>
        <w:pStyle w:val="Styl"/>
        <w:spacing w:line="259" w:lineRule="exact"/>
        <w:ind w:left="14" w:right="9"/>
        <w:rPr>
          <w:b/>
          <w:bCs/>
          <w:sz w:val="21"/>
          <w:szCs w:val="21"/>
          <w:u w:val="single"/>
        </w:rPr>
      </w:pPr>
      <w:r>
        <w:rPr>
          <w:b/>
          <w:bCs/>
          <w:sz w:val="21"/>
          <w:szCs w:val="21"/>
          <w:u w:val="single"/>
        </w:rPr>
        <w:t xml:space="preserve">3.  Wykonanie robót </w:t>
      </w:r>
    </w:p>
    <w:p w:rsidR="008213EC" w:rsidRDefault="008213EC">
      <w:pPr>
        <w:pStyle w:val="Styl"/>
        <w:spacing w:line="259" w:lineRule="exact"/>
        <w:ind w:left="14" w:right="9"/>
        <w:rPr>
          <w:b/>
          <w:bCs/>
          <w:sz w:val="21"/>
          <w:szCs w:val="21"/>
          <w:u w:val="single"/>
        </w:rPr>
      </w:pPr>
    </w:p>
    <w:p w:rsidR="008213EC" w:rsidRDefault="008213EC">
      <w:pPr>
        <w:pStyle w:val="Styl"/>
        <w:spacing w:before="4" w:line="249" w:lineRule="exact"/>
        <w:ind w:right="4156"/>
        <w:rPr>
          <w:sz w:val="21"/>
          <w:szCs w:val="21"/>
        </w:rPr>
      </w:pPr>
      <w:r>
        <w:rPr>
          <w:sz w:val="21"/>
          <w:szCs w:val="21"/>
        </w:rPr>
        <w:t xml:space="preserve">Według instrukcji oraz świadectwa dopuszczenia. 3.1 </w:t>
      </w:r>
      <w:r>
        <w:rPr>
          <w:b/>
          <w:bCs/>
          <w:i/>
          <w:iCs/>
          <w:sz w:val="21"/>
          <w:szCs w:val="21"/>
        </w:rPr>
        <w:t>Przygotowanie podłoży</w:t>
      </w:r>
      <w:r>
        <w:rPr>
          <w:sz w:val="21"/>
          <w:szCs w:val="21"/>
        </w:rPr>
        <w:t xml:space="preserve"> </w:t>
      </w:r>
    </w:p>
    <w:p w:rsidR="008213EC" w:rsidRDefault="008213EC">
      <w:pPr>
        <w:pStyle w:val="Styl"/>
        <w:spacing w:line="259" w:lineRule="exact"/>
        <w:ind w:left="14" w:right="9"/>
        <w:rPr>
          <w:sz w:val="21"/>
          <w:szCs w:val="21"/>
        </w:rPr>
      </w:pPr>
      <w:r>
        <w:rPr>
          <w:sz w:val="21"/>
          <w:szCs w:val="21"/>
        </w:rPr>
        <w:t xml:space="preserve">3.1.1 Podłoże posiadające drobne uszkodzenia powierzchni powinny być, naprawione przez wypełnienie ubytków zaprawą. Powierzchnie powinny być oczyszczone z kurzu i brudu, wystających drutów, nacieków zaprawy itp. Odstające tynki należy odbić, a rysy </w:t>
      </w:r>
    </w:p>
    <w:p w:rsidR="008213EC" w:rsidRDefault="008213EC">
      <w:pPr>
        <w:pStyle w:val="Styl"/>
        <w:spacing w:line="259" w:lineRule="exact"/>
        <w:ind w:left="14" w:right="9"/>
        <w:rPr>
          <w:sz w:val="21"/>
          <w:szCs w:val="21"/>
        </w:rPr>
      </w:pPr>
      <w:r>
        <w:rPr>
          <w:sz w:val="21"/>
          <w:szCs w:val="21"/>
        </w:rPr>
        <w:t xml:space="preserve">poszerzyć i ponownie wypełnić zaprawą cementowo-wapienną. </w:t>
      </w:r>
    </w:p>
    <w:p w:rsidR="008213EC" w:rsidRDefault="008213EC">
      <w:pPr>
        <w:pStyle w:val="Styl"/>
        <w:spacing w:before="4" w:line="249" w:lineRule="exact"/>
        <w:ind w:left="9" w:right="1108"/>
        <w:rPr>
          <w:sz w:val="21"/>
          <w:szCs w:val="21"/>
        </w:rPr>
      </w:pPr>
    </w:p>
    <w:p w:rsidR="008213EC" w:rsidRDefault="008213EC">
      <w:pPr>
        <w:pStyle w:val="Styl"/>
        <w:spacing w:before="4" w:line="249" w:lineRule="exact"/>
        <w:ind w:left="9" w:right="1108"/>
        <w:rPr>
          <w:sz w:val="21"/>
          <w:szCs w:val="21"/>
        </w:rPr>
      </w:pPr>
      <w:r>
        <w:rPr>
          <w:sz w:val="21"/>
          <w:szCs w:val="21"/>
        </w:rPr>
        <w:t xml:space="preserve">3.2 </w:t>
      </w:r>
      <w:r>
        <w:rPr>
          <w:b/>
          <w:bCs/>
          <w:i/>
          <w:iCs/>
          <w:sz w:val="21"/>
          <w:szCs w:val="21"/>
        </w:rPr>
        <w:t xml:space="preserve">Gruntowanie </w:t>
      </w:r>
    </w:p>
    <w:p w:rsidR="008213EC" w:rsidRDefault="008213EC">
      <w:pPr>
        <w:pStyle w:val="Styl"/>
        <w:spacing w:before="4" w:line="254" w:lineRule="exact"/>
        <w:ind w:left="9" w:right="134"/>
        <w:rPr>
          <w:sz w:val="21"/>
          <w:szCs w:val="21"/>
        </w:rPr>
      </w:pPr>
      <w:r>
        <w:rPr>
          <w:sz w:val="21"/>
          <w:szCs w:val="21"/>
        </w:rPr>
        <w:t xml:space="preserve">3.2.1 Przy malowaniu farbami emulsyjnymi do gruntowanie stosować farbę emulsyjną tego samego rodzaju z jakiej ma być wykonana powłoka lecz rozcieńczoną wodą w stosunku </w:t>
      </w:r>
    </w:p>
    <w:p w:rsidR="008213EC" w:rsidRDefault="008213EC">
      <w:pPr>
        <w:pStyle w:val="Styl"/>
        <w:spacing w:line="259" w:lineRule="exact"/>
        <w:ind w:left="14" w:right="9"/>
        <w:rPr>
          <w:sz w:val="21"/>
          <w:szCs w:val="21"/>
        </w:rPr>
      </w:pPr>
      <w:r>
        <w:rPr>
          <w:sz w:val="21"/>
          <w:szCs w:val="21"/>
        </w:rPr>
        <w:t>1 :3-5 lub gotowymi płynami do gruntowania.</w:t>
      </w:r>
    </w:p>
    <w:p w:rsidR="008213EC" w:rsidRDefault="008213EC">
      <w:pPr>
        <w:pStyle w:val="Styl"/>
        <w:spacing w:line="259" w:lineRule="exact"/>
        <w:ind w:left="14" w:right="9"/>
        <w:rPr>
          <w:sz w:val="21"/>
          <w:szCs w:val="21"/>
        </w:rPr>
      </w:pPr>
      <w:r>
        <w:rPr>
          <w:sz w:val="21"/>
          <w:szCs w:val="21"/>
        </w:rPr>
        <w:t xml:space="preserve">3.3 </w:t>
      </w:r>
      <w:r>
        <w:rPr>
          <w:b/>
          <w:bCs/>
          <w:i/>
          <w:iCs/>
          <w:sz w:val="21"/>
          <w:szCs w:val="21"/>
        </w:rPr>
        <w:t>Wykonanie powłok malarskich:</w:t>
      </w:r>
      <w:r>
        <w:rPr>
          <w:sz w:val="21"/>
          <w:szCs w:val="21"/>
        </w:rPr>
        <w:t xml:space="preserve"> </w:t>
      </w:r>
    </w:p>
    <w:p w:rsidR="008213EC" w:rsidRDefault="008213EC">
      <w:pPr>
        <w:pStyle w:val="Styl"/>
        <w:spacing w:line="254" w:lineRule="exact"/>
        <w:ind w:left="9" w:right="509"/>
        <w:rPr>
          <w:sz w:val="21"/>
          <w:szCs w:val="21"/>
        </w:rPr>
      </w:pPr>
      <w:r>
        <w:rPr>
          <w:sz w:val="21"/>
          <w:szCs w:val="21"/>
        </w:rPr>
        <w:t xml:space="preserve">3.3.1 Powłoki z farb emulsyjnych powinny być niezmywalne, przy stosowaniu środków myjących i dezynfekujących. </w:t>
      </w:r>
    </w:p>
    <w:p w:rsidR="008213EC" w:rsidRDefault="008213EC">
      <w:pPr>
        <w:pStyle w:val="Styl"/>
        <w:spacing w:line="254" w:lineRule="exact"/>
        <w:ind w:left="9" w:right="2439"/>
        <w:rPr>
          <w:sz w:val="21"/>
          <w:szCs w:val="21"/>
        </w:rPr>
      </w:pPr>
      <w:r>
        <w:rPr>
          <w:sz w:val="21"/>
          <w:szCs w:val="21"/>
        </w:rPr>
        <w:t xml:space="preserve">Powłoki powinny dawać aksamitno-matowy wygląd powierzchni. Barwa powłok powinna być jednolita, bez smug i plam. Powierzchnia powłok bez uszkodzeń, smug, plam </w:t>
      </w:r>
      <w:r>
        <w:rPr>
          <w:w w:val="141"/>
          <w:sz w:val="22"/>
          <w:szCs w:val="22"/>
        </w:rPr>
        <w:t xml:space="preserve">i </w:t>
      </w:r>
      <w:r>
        <w:rPr>
          <w:sz w:val="21"/>
          <w:szCs w:val="21"/>
        </w:rPr>
        <w:t xml:space="preserve">śladów pędzla. </w:t>
      </w:r>
    </w:p>
    <w:p w:rsidR="008213EC" w:rsidRDefault="008213EC">
      <w:pPr>
        <w:pStyle w:val="Styl"/>
        <w:spacing w:line="259" w:lineRule="exact"/>
        <w:ind w:left="14" w:right="9"/>
        <w:rPr>
          <w:w w:val="59"/>
          <w:sz w:val="21"/>
          <w:szCs w:val="21"/>
        </w:rPr>
      </w:pPr>
    </w:p>
    <w:p w:rsidR="008213EC" w:rsidRDefault="008213EC">
      <w:pPr>
        <w:pStyle w:val="Styl"/>
        <w:spacing w:line="230" w:lineRule="exact"/>
        <w:ind w:left="14" w:right="1"/>
        <w:rPr>
          <w:b/>
          <w:bCs/>
          <w:sz w:val="21"/>
          <w:szCs w:val="21"/>
          <w:u w:val="single"/>
        </w:rPr>
      </w:pPr>
      <w:r>
        <w:rPr>
          <w:b/>
          <w:bCs/>
          <w:sz w:val="21"/>
          <w:szCs w:val="21"/>
          <w:u w:val="single"/>
        </w:rPr>
        <w:t xml:space="preserve">4.   Kontrola jakości </w:t>
      </w:r>
    </w:p>
    <w:p w:rsidR="008213EC" w:rsidRDefault="008213EC">
      <w:pPr>
        <w:pStyle w:val="Styl"/>
        <w:spacing w:line="230" w:lineRule="exact"/>
        <w:ind w:left="14" w:right="1"/>
        <w:rPr>
          <w:b/>
          <w:bCs/>
          <w:sz w:val="21"/>
          <w:szCs w:val="21"/>
          <w:u w:val="single"/>
        </w:rPr>
      </w:pPr>
    </w:p>
    <w:p w:rsidR="008213EC" w:rsidRDefault="008213EC">
      <w:pPr>
        <w:pStyle w:val="Styl"/>
        <w:spacing w:line="230" w:lineRule="exact"/>
        <w:ind w:left="14" w:right="1"/>
        <w:rPr>
          <w:sz w:val="21"/>
          <w:szCs w:val="21"/>
        </w:rPr>
      </w:pPr>
      <w:r>
        <w:rPr>
          <w:sz w:val="21"/>
          <w:szCs w:val="21"/>
        </w:rPr>
        <w:t xml:space="preserve">4.1 </w:t>
      </w:r>
      <w:r>
        <w:rPr>
          <w:b/>
          <w:bCs/>
          <w:i/>
          <w:iCs/>
          <w:sz w:val="21"/>
          <w:szCs w:val="21"/>
        </w:rPr>
        <w:t>Powierzchnia do malowania.</w:t>
      </w:r>
      <w:r>
        <w:rPr>
          <w:sz w:val="21"/>
          <w:szCs w:val="21"/>
        </w:rPr>
        <w:t xml:space="preserve"> </w:t>
      </w:r>
    </w:p>
    <w:p w:rsidR="008213EC" w:rsidRDefault="008213EC">
      <w:pPr>
        <w:pStyle w:val="Styl"/>
        <w:spacing w:line="254" w:lineRule="exact"/>
        <w:ind w:left="14" w:right="1119"/>
        <w:rPr>
          <w:sz w:val="21"/>
          <w:szCs w:val="21"/>
        </w:rPr>
      </w:pPr>
      <w:r>
        <w:rPr>
          <w:sz w:val="21"/>
          <w:szCs w:val="21"/>
        </w:rPr>
        <w:t xml:space="preserve">Kontrola stanu technicznego powierzchni przygotowanej do malowania powinna obejmować: </w:t>
      </w:r>
    </w:p>
    <w:p w:rsidR="008213EC" w:rsidRDefault="008213EC">
      <w:pPr>
        <w:pStyle w:val="Styl"/>
        <w:spacing w:line="230" w:lineRule="exact"/>
        <w:ind w:left="14" w:right="1"/>
        <w:rPr>
          <w:sz w:val="21"/>
          <w:szCs w:val="21"/>
        </w:rPr>
      </w:pPr>
      <w:r>
        <w:rPr>
          <w:sz w:val="21"/>
          <w:szCs w:val="21"/>
        </w:rPr>
        <w:t xml:space="preserve">- sprawdzenie wyglądu powierzchni </w:t>
      </w:r>
    </w:p>
    <w:p w:rsidR="008213EC" w:rsidRDefault="008213EC">
      <w:pPr>
        <w:pStyle w:val="Styl"/>
        <w:spacing w:line="230" w:lineRule="exact"/>
        <w:ind w:left="14" w:right="1"/>
        <w:rPr>
          <w:sz w:val="21"/>
          <w:szCs w:val="21"/>
        </w:rPr>
      </w:pPr>
      <w:r>
        <w:rPr>
          <w:sz w:val="21"/>
          <w:szCs w:val="21"/>
        </w:rPr>
        <w:t xml:space="preserve">- sprawdzenie wsiąkliwości </w:t>
      </w:r>
    </w:p>
    <w:p w:rsidR="008213EC" w:rsidRDefault="008213EC">
      <w:pPr>
        <w:pStyle w:val="Styl"/>
        <w:spacing w:line="230" w:lineRule="exact"/>
        <w:ind w:left="14" w:right="1"/>
        <w:rPr>
          <w:sz w:val="21"/>
          <w:szCs w:val="21"/>
        </w:rPr>
      </w:pPr>
      <w:r>
        <w:rPr>
          <w:sz w:val="21"/>
          <w:szCs w:val="21"/>
        </w:rPr>
        <w:t xml:space="preserve">- sprawdzenie wyschnięcia podłoża </w:t>
      </w:r>
    </w:p>
    <w:p w:rsidR="008213EC" w:rsidRDefault="008213EC">
      <w:pPr>
        <w:pStyle w:val="Styl"/>
        <w:spacing w:line="230" w:lineRule="exact"/>
        <w:ind w:left="14" w:right="1"/>
        <w:rPr>
          <w:sz w:val="21"/>
          <w:szCs w:val="21"/>
        </w:rPr>
      </w:pPr>
      <w:r>
        <w:rPr>
          <w:sz w:val="21"/>
          <w:szCs w:val="21"/>
        </w:rPr>
        <w:t xml:space="preserve">- sprawdzenie czystości </w:t>
      </w:r>
    </w:p>
    <w:p w:rsidR="008213EC" w:rsidRDefault="008213EC">
      <w:pPr>
        <w:pStyle w:val="Styl"/>
        <w:spacing w:line="259" w:lineRule="exact"/>
        <w:ind w:right="601"/>
        <w:rPr>
          <w:sz w:val="21"/>
          <w:szCs w:val="21"/>
        </w:rPr>
      </w:pPr>
      <w:r>
        <w:rPr>
          <w:sz w:val="21"/>
          <w:szCs w:val="21"/>
        </w:rPr>
        <w:t xml:space="preserve">Sprawdzenie wyglądu powierzchni pod malowanie należy wykonać przez oględziny zewnętrzne. Sprawdzenie wsiąkliwości należy wykonać przez spryskanie powierzchni przewidzianej pod malowanie kilku kroplami wody. Ciemniejsza plama zwilżonej powierzchni powinna nastąpić nie wcześniej niż po 3s. </w:t>
      </w:r>
    </w:p>
    <w:p w:rsidR="008213EC" w:rsidRDefault="008213EC">
      <w:pPr>
        <w:pStyle w:val="Styl"/>
        <w:spacing w:line="259" w:lineRule="exact"/>
        <w:ind w:right="601"/>
        <w:rPr>
          <w:sz w:val="21"/>
          <w:szCs w:val="21"/>
        </w:rPr>
      </w:pPr>
    </w:p>
    <w:p w:rsidR="008213EC" w:rsidRDefault="008213EC">
      <w:pPr>
        <w:pStyle w:val="Styl"/>
        <w:spacing w:line="230" w:lineRule="exact"/>
        <w:ind w:left="14" w:right="1"/>
        <w:rPr>
          <w:sz w:val="21"/>
          <w:szCs w:val="21"/>
        </w:rPr>
      </w:pPr>
      <w:r>
        <w:rPr>
          <w:sz w:val="21"/>
          <w:szCs w:val="21"/>
        </w:rPr>
        <w:t xml:space="preserve">4.2 </w:t>
      </w:r>
      <w:r>
        <w:rPr>
          <w:b/>
          <w:bCs/>
          <w:i/>
          <w:iCs/>
          <w:sz w:val="21"/>
          <w:szCs w:val="21"/>
        </w:rPr>
        <w:t>Roboty malarskie</w:t>
      </w:r>
      <w:r>
        <w:rPr>
          <w:sz w:val="21"/>
          <w:szCs w:val="21"/>
        </w:rPr>
        <w:t xml:space="preserve"> </w:t>
      </w:r>
    </w:p>
    <w:p w:rsidR="008213EC" w:rsidRDefault="008213EC">
      <w:pPr>
        <w:pStyle w:val="Styl"/>
        <w:spacing w:line="230" w:lineRule="exact"/>
        <w:ind w:left="14" w:right="1"/>
        <w:rPr>
          <w:sz w:val="21"/>
          <w:szCs w:val="21"/>
        </w:rPr>
      </w:pPr>
    </w:p>
    <w:p w:rsidR="008213EC" w:rsidRDefault="008213EC">
      <w:pPr>
        <w:pStyle w:val="Styl"/>
        <w:spacing w:before="4" w:line="249" w:lineRule="exact"/>
        <w:ind w:left="9" w:right="836"/>
        <w:rPr>
          <w:sz w:val="21"/>
          <w:szCs w:val="21"/>
        </w:rPr>
      </w:pPr>
      <w:r>
        <w:rPr>
          <w:sz w:val="21"/>
          <w:szCs w:val="21"/>
        </w:rPr>
        <w:t xml:space="preserve">4.2.1 Badania powłok przy ich odbiorach należy przeprowadzić po zakończeniu ich wykonania: </w:t>
      </w:r>
    </w:p>
    <w:p w:rsidR="008213EC" w:rsidRDefault="008213EC">
      <w:pPr>
        <w:pStyle w:val="Styl"/>
        <w:spacing w:line="230" w:lineRule="exact"/>
        <w:ind w:left="14" w:right="1"/>
        <w:rPr>
          <w:sz w:val="21"/>
          <w:szCs w:val="21"/>
        </w:rPr>
      </w:pPr>
      <w:r>
        <w:rPr>
          <w:sz w:val="21"/>
          <w:szCs w:val="21"/>
        </w:rPr>
        <w:t xml:space="preserve">- Dla farb emulsyjnych nie wcześniej niż po 7dniach </w:t>
      </w:r>
    </w:p>
    <w:p w:rsidR="008213EC" w:rsidRDefault="008213EC">
      <w:pPr>
        <w:pStyle w:val="Styl"/>
        <w:spacing w:line="230" w:lineRule="exact"/>
        <w:ind w:left="14" w:right="1"/>
        <w:rPr>
          <w:sz w:val="21"/>
          <w:szCs w:val="21"/>
        </w:rPr>
      </w:pPr>
      <w:r>
        <w:rPr>
          <w:sz w:val="21"/>
          <w:szCs w:val="21"/>
        </w:rPr>
        <w:t xml:space="preserve">- Dla pozostałych nie wcześniej niż po 14 dniach. </w:t>
      </w:r>
    </w:p>
    <w:p w:rsidR="008213EC" w:rsidRDefault="008213EC">
      <w:pPr>
        <w:pStyle w:val="Styl"/>
        <w:spacing w:line="254" w:lineRule="exact"/>
        <w:ind w:left="19" w:right="82"/>
        <w:rPr>
          <w:sz w:val="21"/>
          <w:szCs w:val="21"/>
        </w:rPr>
      </w:pPr>
      <w:r>
        <w:rPr>
          <w:sz w:val="21"/>
          <w:szCs w:val="21"/>
        </w:rPr>
        <w:t xml:space="preserve">4.2.2 Badania przeprowadza się przy temp. powietrza nie niższej od +5°C przy wilgotności powietrza mniejszej od 65%. </w:t>
      </w:r>
    </w:p>
    <w:p w:rsidR="008213EC" w:rsidRDefault="008213EC">
      <w:pPr>
        <w:pStyle w:val="Styl"/>
        <w:spacing w:line="230" w:lineRule="exact"/>
        <w:ind w:left="14" w:right="1"/>
        <w:rPr>
          <w:sz w:val="21"/>
          <w:szCs w:val="21"/>
        </w:rPr>
      </w:pPr>
      <w:r>
        <w:rPr>
          <w:sz w:val="21"/>
          <w:szCs w:val="21"/>
        </w:rPr>
        <w:t xml:space="preserve">4.2.3 Badania powinny obejmować: </w:t>
      </w:r>
    </w:p>
    <w:p w:rsidR="008213EC" w:rsidRDefault="008213EC">
      <w:pPr>
        <w:pStyle w:val="Styl"/>
        <w:spacing w:line="230" w:lineRule="exact"/>
        <w:ind w:left="14" w:right="1"/>
        <w:rPr>
          <w:sz w:val="21"/>
          <w:szCs w:val="21"/>
        </w:rPr>
      </w:pPr>
      <w:r>
        <w:rPr>
          <w:sz w:val="21"/>
          <w:szCs w:val="21"/>
        </w:rPr>
        <w:t xml:space="preserve">- sprawdzenie wyglądu zewnętrznego </w:t>
      </w:r>
    </w:p>
    <w:p w:rsidR="008213EC" w:rsidRDefault="008213EC">
      <w:pPr>
        <w:pStyle w:val="Styl"/>
        <w:spacing w:line="230" w:lineRule="exact"/>
        <w:ind w:left="14" w:right="1"/>
        <w:rPr>
          <w:sz w:val="21"/>
          <w:szCs w:val="21"/>
        </w:rPr>
      </w:pPr>
      <w:r>
        <w:rPr>
          <w:sz w:val="21"/>
          <w:szCs w:val="21"/>
        </w:rPr>
        <w:t xml:space="preserve">- sprawdzenie zgodności barwy ze wzorem </w:t>
      </w:r>
    </w:p>
    <w:p w:rsidR="008213EC" w:rsidRDefault="008213EC">
      <w:pPr>
        <w:pStyle w:val="Styl"/>
        <w:spacing w:before="9" w:line="249" w:lineRule="exact"/>
        <w:ind w:left="14" w:right="274"/>
        <w:rPr>
          <w:sz w:val="21"/>
          <w:szCs w:val="21"/>
        </w:rPr>
      </w:pPr>
      <w:r>
        <w:rPr>
          <w:sz w:val="21"/>
          <w:szCs w:val="21"/>
        </w:rPr>
        <w:t xml:space="preserve">Jeśli badania dadzą wynik pozytywny, to roboty malarskie należy uznać za wykonane prawidłowo. </w:t>
      </w:r>
    </w:p>
    <w:p w:rsidR="008213EC" w:rsidRDefault="008213EC">
      <w:pPr>
        <w:pStyle w:val="Styl"/>
        <w:spacing w:line="254" w:lineRule="exact"/>
        <w:ind w:left="14" w:right="1119"/>
        <w:rPr>
          <w:sz w:val="21"/>
          <w:szCs w:val="21"/>
        </w:rPr>
      </w:pPr>
      <w:r>
        <w:rPr>
          <w:sz w:val="21"/>
          <w:szCs w:val="21"/>
        </w:rPr>
        <w:t xml:space="preserve">Gdy którekolwiek z badań dało wynik ujemny, należy usunąć wykonane powłoki częściowo lub całkowicie i wykonać powtórnie. </w:t>
      </w:r>
    </w:p>
    <w:p w:rsidR="008213EC" w:rsidRDefault="008213EC">
      <w:pPr>
        <w:pStyle w:val="Styl"/>
        <w:spacing w:line="254" w:lineRule="exact"/>
        <w:ind w:left="14" w:right="1119"/>
        <w:rPr>
          <w:sz w:val="21"/>
          <w:szCs w:val="21"/>
        </w:rPr>
      </w:pPr>
      <w:r>
        <w:rPr>
          <w:sz w:val="21"/>
          <w:szCs w:val="21"/>
        </w:rPr>
        <w:t>4.3.1 Tynk jednowarstwowy – surowy na ścianach z zaprawy klejowej</w:t>
      </w:r>
    </w:p>
    <w:p w:rsidR="008213EC" w:rsidRDefault="008213EC">
      <w:pPr>
        <w:pStyle w:val="Styl"/>
        <w:spacing w:line="254" w:lineRule="exact"/>
        <w:ind w:left="14" w:right="1119"/>
        <w:rPr>
          <w:sz w:val="21"/>
          <w:szCs w:val="21"/>
        </w:rPr>
      </w:pPr>
      <w:r>
        <w:rPr>
          <w:sz w:val="21"/>
          <w:szCs w:val="21"/>
        </w:rPr>
        <w:t xml:space="preserve">      - Przygotowanie powierzchni, wymagania i odbiory – analogiczne jak dla malowania</w:t>
      </w:r>
    </w:p>
    <w:p w:rsidR="008213EC" w:rsidRDefault="008213EC">
      <w:pPr>
        <w:pStyle w:val="Styl"/>
        <w:spacing w:line="230" w:lineRule="exact"/>
        <w:ind w:left="14" w:right="1"/>
        <w:rPr>
          <w:sz w:val="21"/>
          <w:szCs w:val="21"/>
        </w:rPr>
      </w:pPr>
    </w:p>
    <w:p w:rsidR="008213EC" w:rsidRDefault="008213EC">
      <w:pPr>
        <w:pStyle w:val="Styl"/>
        <w:spacing w:line="230" w:lineRule="exact"/>
        <w:ind w:left="14" w:right="1"/>
        <w:rPr>
          <w:b/>
          <w:bCs/>
          <w:sz w:val="21"/>
          <w:szCs w:val="21"/>
          <w:u w:val="single"/>
        </w:rPr>
      </w:pPr>
      <w:r>
        <w:rPr>
          <w:b/>
          <w:bCs/>
          <w:sz w:val="21"/>
          <w:szCs w:val="21"/>
          <w:u w:val="single"/>
        </w:rPr>
        <w:t xml:space="preserve">5. Obmiar robót </w:t>
      </w:r>
    </w:p>
    <w:p w:rsidR="008213EC" w:rsidRDefault="008213EC">
      <w:pPr>
        <w:pStyle w:val="Styl"/>
        <w:spacing w:line="230" w:lineRule="exact"/>
        <w:ind w:left="14" w:right="1"/>
        <w:rPr>
          <w:b/>
          <w:bCs/>
          <w:sz w:val="21"/>
          <w:szCs w:val="21"/>
          <w:u w:val="single"/>
        </w:rPr>
      </w:pPr>
    </w:p>
    <w:p w:rsidR="008213EC" w:rsidRDefault="008213EC">
      <w:pPr>
        <w:pStyle w:val="Styl"/>
        <w:spacing w:line="230" w:lineRule="exact"/>
        <w:ind w:left="14" w:right="1"/>
        <w:rPr>
          <w:sz w:val="21"/>
          <w:szCs w:val="21"/>
        </w:rPr>
      </w:pPr>
      <w:r>
        <w:rPr>
          <w:sz w:val="21"/>
          <w:szCs w:val="21"/>
        </w:rPr>
        <w:t>Jednostką obmiarową robót jest m</w:t>
      </w:r>
      <w:r>
        <w:rPr>
          <w:sz w:val="21"/>
          <w:szCs w:val="21"/>
          <w:vertAlign w:val="superscript"/>
        </w:rPr>
        <w:t>2</w:t>
      </w:r>
      <w:r>
        <w:rPr>
          <w:sz w:val="21"/>
          <w:szCs w:val="21"/>
        </w:rPr>
        <w:t xml:space="preserve"> powierzchni zamalowanej wraz z przygotowaniem do malowania podłoża, przygotowaniem farb, ustawieniem i rozebraniem rusztowań lub drabin malarskich oraz uporządkowaniem miejsca pracy. </w:t>
      </w:r>
    </w:p>
    <w:p w:rsidR="008213EC" w:rsidRDefault="008213EC">
      <w:pPr>
        <w:pStyle w:val="Styl"/>
        <w:spacing w:before="4" w:line="249" w:lineRule="exact"/>
        <w:ind w:left="28" w:right="361"/>
        <w:rPr>
          <w:sz w:val="21"/>
          <w:szCs w:val="21"/>
        </w:rPr>
      </w:pPr>
      <w:r>
        <w:rPr>
          <w:sz w:val="21"/>
          <w:szCs w:val="21"/>
        </w:rPr>
        <w:t xml:space="preserve">Ilość robót określa się na podstawie obmiaru z uwzględnieniem zmian zaaprobowanych przez Inwestora </w:t>
      </w:r>
      <w:r>
        <w:rPr>
          <w:w w:val="146"/>
          <w:sz w:val="21"/>
          <w:szCs w:val="21"/>
        </w:rPr>
        <w:t xml:space="preserve">i </w:t>
      </w:r>
      <w:r>
        <w:rPr>
          <w:sz w:val="21"/>
          <w:szCs w:val="21"/>
        </w:rPr>
        <w:t xml:space="preserve">sprawdzonych w naturze. </w:t>
      </w:r>
    </w:p>
    <w:p w:rsidR="008213EC" w:rsidRDefault="008213EC">
      <w:pPr>
        <w:pStyle w:val="Styl"/>
        <w:spacing w:before="4" w:line="249" w:lineRule="exact"/>
        <w:ind w:left="28" w:right="361"/>
        <w:rPr>
          <w:sz w:val="21"/>
          <w:szCs w:val="21"/>
        </w:rPr>
      </w:pPr>
    </w:p>
    <w:p w:rsidR="008213EC" w:rsidRDefault="008213EC">
      <w:pPr>
        <w:pStyle w:val="Styl"/>
        <w:spacing w:before="4" w:line="249" w:lineRule="exact"/>
        <w:ind w:left="28" w:right="361"/>
        <w:rPr>
          <w:sz w:val="21"/>
          <w:szCs w:val="21"/>
        </w:rPr>
      </w:pPr>
    </w:p>
    <w:p w:rsidR="008213EC" w:rsidRDefault="008213EC">
      <w:pPr>
        <w:pStyle w:val="Styl"/>
        <w:spacing w:before="4" w:line="249" w:lineRule="exact"/>
        <w:ind w:left="28" w:right="361"/>
        <w:rPr>
          <w:b/>
          <w:bCs/>
          <w:sz w:val="21"/>
          <w:szCs w:val="21"/>
          <w:u w:val="single"/>
        </w:rPr>
      </w:pPr>
      <w:r>
        <w:rPr>
          <w:b/>
          <w:bCs/>
          <w:sz w:val="21"/>
          <w:szCs w:val="21"/>
          <w:u w:val="single"/>
        </w:rPr>
        <w:t>6. Odbiór robót</w:t>
      </w:r>
    </w:p>
    <w:p w:rsidR="008213EC" w:rsidRDefault="008213EC">
      <w:pPr>
        <w:pStyle w:val="Styl"/>
        <w:spacing w:before="4" w:line="249" w:lineRule="exact"/>
        <w:ind w:left="28" w:right="361"/>
        <w:rPr>
          <w:sz w:val="21"/>
          <w:szCs w:val="21"/>
        </w:rPr>
      </w:pPr>
    </w:p>
    <w:p w:rsidR="008213EC" w:rsidRDefault="008213EC">
      <w:pPr>
        <w:pStyle w:val="Styl"/>
        <w:spacing w:before="4" w:line="249" w:lineRule="exact"/>
        <w:ind w:left="9" w:right="1310"/>
        <w:rPr>
          <w:sz w:val="21"/>
          <w:szCs w:val="21"/>
        </w:rPr>
      </w:pPr>
      <w:r>
        <w:rPr>
          <w:sz w:val="21"/>
          <w:szCs w:val="21"/>
        </w:rPr>
        <w:t xml:space="preserve">Roboty podlegające warunkom odbioru wg zasad w ST "Wymagania ogólne". </w:t>
      </w:r>
    </w:p>
    <w:p w:rsidR="008213EC" w:rsidRDefault="008213EC">
      <w:pPr>
        <w:pStyle w:val="Styl"/>
        <w:spacing w:before="4" w:line="249" w:lineRule="exact"/>
        <w:ind w:left="9" w:right="1310"/>
        <w:rPr>
          <w:sz w:val="21"/>
          <w:szCs w:val="21"/>
        </w:rPr>
      </w:pPr>
      <w:r>
        <w:rPr>
          <w:sz w:val="21"/>
          <w:szCs w:val="21"/>
        </w:rPr>
        <w:t xml:space="preserve">6.1 </w:t>
      </w:r>
      <w:r>
        <w:rPr>
          <w:b/>
          <w:bCs/>
          <w:i/>
          <w:iCs/>
          <w:sz w:val="21"/>
          <w:szCs w:val="21"/>
        </w:rPr>
        <w:t>Odbiór podłoża</w:t>
      </w:r>
      <w:r>
        <w:rPr>
          <w:sz w:val="21"/>
          <w:szCs w:val="21"/>
        </w:rPr>
        <w:t xml:space="preserve"> </w:t>
      </w:r>
    </w:p>
    <w:p w:rsidR="008213EC" w:rsidRDefault="008213EC">
      <w:pPr>
        <w:pStyle w:val="Styl"/>
        <w:spacing w:line="230" w:lineRule="exact"/>
        <w:ind w:left="19" w:right="4"/>
        <w:rPr>
          <w:sz w:val="21"/>
          <w:szCs w:val="21"/>
        </w:rPr>
      </w:pPr>
      <w:r>
        <w:rPr>
          <w:sz w:val="21"/>
          <w:szCs w:val="21"/>
        </w:rPr>
        <w:t xml:space="preserve">6.1.1 Zastosowane do przygotowania podłoża materiały powinny odpowiadać wymaganiom zawartym w normach państwowych lub świadectwach dopuszczenia do stosowania w budownictwie. Podłoże, posiadające drobne uszkodzenia powinno być naprawione </w:t>
      </w:r>
    </w:p>
    <w:p w:rsidR="008213EC" w:rsidRDefault="008213EC">
      <w:pPr>
        <w:pStyle w:val="Styl"/>
        <w:spacing w:line="249" w:lineRule="exact"/>
        <w:ind w:left="9" w:right="408"/>
        <w:rPr>
          <w:sz w:val="21"/>
          <w:szCs w:val="21"/>
        </w:rPr>
      </w:pPr>
      <w:r>
        <w:rPr>
          <w:sz w:val="21"/>
          <w:szCs w:val="21"/>
        </w:rPr>
        <w:t xml:space="preserve">przez wypełnienie ubytków zaprawą do robót tynkowych lub odpowiednią szpachlówką. Podłoże powinno być przygotowane zgodnie z wymaganiami w pkt. 5.2.1 jeżeli odbiór podłoża odbywa się po dłuższym czasie od jego wykonania, należy podłoże przed gruntowaniem oczyścić. </w:t>
      </w:r>
    </w:p>
    <w:p w:rsidR="008213EC" w:rsidRDefault="008213EC">
      <w:pPr>
        <w:pStyle w:val="Styl"/>
        <w:spacing w:line="230" w:lineRule="exact"/>
        <w:ind w:left="19" w:right="4"/>
        <w:rPr>
          <w:sz w:val="21"/>
          <w:szCs w:val="21"/>
        </w:rPr>
      </w:pPr>
      <w:r>
        <w:rPr>
          <w:sz w:val="21"/>
          <w:szCs w:val="21"/>
        </w:rPr>
        <w:t xml:space="preserve">6.2 </w:t>
      </w:r>
      <w:r>
        <w:rPr>
          <w:b/>
          <w:bCs/>
          <w:i/>
          <w:iCs/>
          <w:sz w:val="21"/>
          <w:szCs w:val="21"/>
        </w:rPr>
        <w:t>Odbiór robót malarskich</w:t>
      </w:r>
      <w:r>
        <w:rPr>
          <w:sz w:val="21"/>
          <w:szCs w:val="21"/>
        </w:rPr>
        <w:t xml:space="preserve"> </w:t>
      </w:r>
    </w:p>
    <w:p w:rsidR="008213EC" w:rsidRDefault="008213EC">
      <w:pPr>
        <w:pStyle w:val="Styl"/>
        <w:spacing w:before="4" w:line="249" w:lineRule="exact"/>
        <w:ind w:left="9" w:right="206"/>
        <w:rPr>
          <w:sz w:val="21"/>
          <w:szCs w:val="21"/>
        </w:rPr>
      </w:pPr>
      <w:r>
        <w:rPr>
          <w:sz w:val="21"/>
          <w:szCs w:val="21"/>
        </w:rPr>
        <w:t xml:space="preserve">6.2.1 Sprawdzenie wyglądu zewnętrznego powłok malarskich polegające na stwierdzeniu równomiernego rozłożenia farby, jednolitego natężenia barwy i zgodności ze wzorcem producenta, brak prześwitu </w:t>
      </w:r>
      <w:r>
        <w:rPr>
          <w:w w:val="146"/>
          <w:sz w:val="21"/>
          <w:szCs w:val="21"/>
        </w:rPr>
        <w:t xml:space="preserve">i </w:t>
      </w:r>
      <w:r>
        <w:rPr>
          <w:sz w:val="21"/>
          <w:szCs w:val="21"/>
        </w:rPr>
        <w:t xml:space="preserve">dostrzegalnych skupisk lub grudek nie roztartego pigmentu lub wypełniacza, brak plam, smug, zacieków, pęcherzy, odstających płatów powłok, widocznych okiem śladów pędzla itp., w stopniu kwalifikującym powierzchnię malowaną do powłok o dobrej jakości wykonania. </w:t>
      </w:r>
    </w:p>
    <w:p w:rsidR="008213EC" w:rsidRDefault="008213EC">
      <w:pPr>
        <w:pStyle w:val="Styl"/>
        <w:ind w:left="1080"/>
        <w:rPr>
          <w:rFonts w:ascii="Times New Roman" w:hAnsi="Times New Roman" w:cs="Times New Roman"/>
        </w:rPr>
      </w:pPr>
    </w:p>
    <w:p w:rsidR="008213EC" w:rsidRDefault="008213EC">
      <w:pPr>
        <w:pStyle w:val="Styl"/>
        <w:ind w:left="1080"/>
        <w:rPr>
          <w:rFonts w:ascii="Times New Roman" w:hAnsi="Times New Roman" w:cs="Times New Roman"/>
        </w:rPr>
      </w:pPr>
    </w:p>
    <w:p w:rsidR="008213EC" w:rsidRDefault="008213EC">
      <w:pPr>
        <w:pStyle w:val="Styl"/>
        <w:rPr>
          <w:rFonts w:ascii="Times New Roman" w:hAnsi="Times New Roman" w:cs="Times New Roman"/>
        </w:rPr>
      </w:pPr>
      <w:r>
        <w:rPr>
          <w:rFonts w:ascii="Times New Roman" w:hAnsi="Times New Roman" w:cs="Times New Roman"/>
        </w:rPr>
        <w:t xml:space="preserve">       Odbiór robót:</w:t>
      </w:r>
    </w:p>
    <w:p w:rsidR="008213EC" w:rsidRDefault="008213EC">
      <w:pPr>
        <w:pStyle w:val="Styl"/>
        <w:rPr>
          <w:rFonts w:ascii="Times New Roman" w:hAnsi="Times New Roman" w:cs="Times New Roman"/>
        </w:rPr>
      </w:pPr>
      <w:r>
        <w:rPr>
          <w:sz w:val="21"/>
          <w:szCs w:val="21"/>
        </w:rPr>
        <w:t>Roboty podlegające warunkom odbioru wg zasad w ST "Wymagania ogólne".</w:t>
      </w:r>
    </w:p>
    <w:p w:rsidR="008213EC" w:rsidRDefault="008213EC">
      <w:pPr>
        <w:pStyle w:val="Styl"/>
        <w:ind w:left="360"/>
        <w:rPr>
          <w:rFonts w:ascii="Times New Roman" w:hAnsi="Times New Roman" w:cs="Times New Roman"/>
        </w:rPr>
      </w:pPr>
    </w:p>
    <w:p w:rsidR="008213EC" w:rsidRDefault="008213EC">
      <w:pPr>
        <w:pStyle w:val="Styl"/>
        <w:rPr>
          <w:rFonts w:ascii="Times New Roman" w:hAnsi="Times New Roman" w:cs="Times New Roman"/>
        </w:rPr>
      </w:pPr>
    </w:p>
    <w:p w:rsidR="008213EC" w:rsidRDefault="008213EC">
      <w:pPr>
        <w:pStyle w:val="Styl"/>
        <w:rPr>
          <w:rFonts w:ascii="Times New Roman" w:hAnsi="Times New Roman" w:cs="Times New Roman"/>
          <w:sz w:val="28"/>
          <w:szCs w:val="28"/>
        </w:rPr>
        <w:sectPr w:rsidR="008213EC">
          <w:pgSz w:w="11907" w:h="16840"/>
          <w:pgMar w:top="388" w:right="1549" w:bottom="360" w:left="1425" w:header="708" w:footer="708" w:gutter="0"/>
          <w:cols w:space="708"/>
          <w:noEndnote/>
        </w:sectPr>
      </w:pPr>
    </w:p>
    <w:p w:rsidR="008213EC" w:rsidRDefault="008213EC">
      <w:pPr>
        <w:pStyle w:val="Styl"/>
        <w:spacing w:line="292" w:lineRule="exact"/>
        <w:rPr>
          <w:sz w:val="27"/>
          <w:szCs w:val="27"/>
        </w:rPr>
      </w:pPr>
    </w:p>
    <w:sectPr w:rsidR="008213EC" w:rsidSect="008213EC">
      <w:pgSz w:w="11907" w:h="16840"/>
      <w:pgMar w:top="441" w:right="1626" w:bottom="360" w:left="144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61634"/>
    <w:multiLevelType w:val="hybridMultilevel"/>
    <w:tmpl w:val="C07E31CE"/>
    <w:lvl w:ilvl="0" w:tplc="0415000F">
      <w:start w:val="1"/>
      <w:numFmt w:val="decimal"/>
      <w:lvlText w:val="%1."/>
      <w:lvlJc w:val="left"/>
      <w:pPr>
        <w:tabs>
          <w:tab w:val="num" w:pos="720"/>
        </w:tabs>
        <w:ind w:left="720" w:hanging="360"/>
      </w:pPr>
      <w:rPr>
        <w:rFonts w:ascii="Times New Roman" w:hAnsi="Times New Roman" w:hint="default"/>
      </w:rPr>
    </w:lvl>
    <w:lvl w:ilvl="1" w:tplc="1CB493C8">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rPr>
        <w:rFonts w:ascii="Times New Roman" w:hAnsi="Times New Roman"/>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
    <w:nsid w:val="782B6CEC"/>
    <w:multiLevelType w:val="hybridMultilevel"/>
    <w:tmpl w:val="F874FD0C"/>
    <w:lvl w:ilvl="0" w:tplc="270A0CBC">
      <w:start w:val="1"/>
      <w:numFmt w:val="decimal"/>
      <w:lvlText w:val="%1."/>
      <w:lvlJc w:val="left"/>
      <w:pPr>
        <w:tabs>
          <w:tab w:val="num" w:pos="374"/>
        </w:tabs>
        <w:ind w:left="374" w:hanging="360"/>
      </w:pPr>
      <w:rPr>
        <w:rFonts w:ascii="Times New Roman" w:hAnsi="Times New Roman" w:hint="default"/>
      </w:rPr>
    </w:lvl>
    <w:lvl w:ilvl="1" w:tplc="04150019">
      <w:start w:val="1"/>
      <w:numFmt w:val="lowerLetter"/>
      <w:lvlText w:val="%2."/>
      <w:lvlJc w:val="left"/>
      <w:pPr>
        <w:tabs>
          <w:tab w:val="num" w:pos="1094"/>
        </w:tabs>
        <w:ind w:left="1094" w:hanging="360"/>
      </w:pPr>
      <w:rPr>
        <w:rFonts w:ascii="Times New Roman" w:hAnsi="Times New Roman"/>
      </w:rPr>
    </w:lvl>
    <w:lvl w:ilvl="2" w:tplc="0415001B">
      <w:start w:val="1"/>
      <w:numFmt w:val="lowerRoman"/>
      <w:lvlText w:val="%3."/>
      <w:lvlJc w:val="right"/>
      <w:pPr>
        <w:tabs>
          <w:tab w:val="num" w:pos="1814"/>
        </w:tabs>
        <w:ind w:left="1814" w:hanging="180"/>
      </w:pPr>
      <w:rPr>
        <w:rFonts w:ascii="Times New Roman" w:hAnsi="Times New Roman"/>
      </w:rPr>
    </w:lvl>
    <w:lvl w:ilvl="3" w:tplc="0415000F">
      <w:start w:val="1"/>
      <w:numFmt w:val="decimal"/>
      <w:lvlText w:val="%4."/>
      <w:lvlJc w:val="left"/>
      <w:pPr>
        <w:tabs>
          <w:tab w:val="num" w:pos="2534"/>
        </w:tabs>
        <w:ind w:left="2534" w:hanging="360"/>
      </w:pPr>
      <w:rPr>
        <w:rFonts w:ascii="Times New Roman" w:hAnsi="Times New Roman"/>
      </w:rPr>
    </w:lvl>
    <w:lvl w:ilvl="4" w:tplc="04150019">
      <w:start w:val="1"/>
      <w:numFmt w:val="lowerLetter"/>
      <w:lvlText w:val="%5."/>
      <w:lvlJc w:val="left"/>
      <w:pPr>
        <w:tabs>
          <w:tab w:val="num" w:pos="3254"/>
        </w:tabs>
        <w:ind w:left="3254" w:hanging="360"/>
      </w:pPr>
      <w:rPr>
        <w:rFonts w:ascii="Times New Roman" w:hAnsi="Times New Roman"/>
      </w:rPr>
    </w:lvl>
    <w:lvl w:ilvl="5" w:tplc="0415001B">
      <w:start w:val="1"/>
      <w:numFmt w:val="lowerRoman"/>
      <w:lvlText w:val="%6."/>
      <w:lvlJc w:val="right"/>
      <w:pPr>
        <w:tabs>
          <w:tab w:val="num" w:pos="3974"/>
        </w:tabs>
        <w:ind w:left="3974" w:hanging="180"/>
      </w:pPr>
      <w:rPr>
        <w:rFonts w:ascii="Times New Roman" w:hAnsi="Times New Roman"/>
      </w:rPr>
    </w:lvl>
    <w:lvl w:ilvl="6" w:tplc="0415000F">
      <w:start w:val="1"/>
      <w:numFmt w:val="decimal"/>
      <w:lvlText w:val="%7."/>
      <w:lvlJc w:val="left"/>
      <w:pPr>
        <w:tabs>
          <w:tab w:val="num" w:pos="4694"/>
        </w:tabs>
        <w:ind w:left="4694" w:hanging="360"/>
      </w:pPr>
      <w:rPr>
        <w:rFonts w:ascii="Times New Roman" w:hAnsi="Times New Roman"/>
      </w:rPr>
    </w:lvl>
    <w:lvl w:ilvl="7" w:tplc="04150019">
      <w:start w:val="1"/>
      <w:numFmt w:val="lowerLetter"/>
      <w:lvlText w:val="%8."/>
      <w:lvlJc w:val="left"/>
      <w:pPr>
        <w:tabs>
          <w:tab w:val="num" w:pos="5414"/>
        </w:tabs>
        <w:ind w:left="5414" w:hanging="360"/>
      </w:pPr>
      <w:rPr>
        <w:rFonts w:ascii="Times New Roman" w:hAnsi="Times New Roman"/>
      </w:rPr>
    </w:lvl>
    <w:lvl w:ilvl="8" w:tplc="0415001B">
      <w:start w:val="1"/>
      <w:numFmt w:val="lowerRoman"/>
      <w:lvlText w:val="%9."/>
      <w:lvlJc w:val="right"/>
      <w:pPr>
        <w:tabs>
          <w:tab w:val="num" w:pos="6134"/>
        </w:tabs>
        <w:ind w:left="6134" w:hanging="180"/>
      </w:pPr>
      <w:rPr>
        <w:rFonts w:ascii="Times New Roman" w:hAnsi="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EC"/>
    <w:rsid w:val="003F767C"/>
    <w:rsid w:val="008213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uiPriority w:val="99"/>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5435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Specyfikacja techniczna wykonania i odbioru robót budowlanych ROBOTY MALARSKIE </vt:lpstr>
    </vt:vector>
  </TitlesOfParts>
  <Company>SIWL</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techniczna wykonania i odbioru robót budowlanych ROBOTY MALARSKIE</dc:title>
  <dc:creator>Wrzesnia</dc:creator>
  <cp:lastModifiedBy>Marcin Kmieciak</cp:lastModifiedBy>
  <cp:revision>2</cp:revision>
  <dcterms:created xsi:type="dcterms:W3CDTF">2016-07-14T06:55:00Z</dcterms:created>
  <dcterms:modified xsi:type="dcterms:W3CDTF">2016-07-14T06:55:00Z</dcterms:modified>
</cp:coreProperties>
</file>